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BFD49" w14:textId="0D9350AB" w:rsidR="006B535B" w:rsidRDefault="0006384E" w:rsidP="003C4E91">
      <w:pPr>
        <w:jc w:val="both"/>
      </w:pPr>
      <w:r>
        <w:rPr>
          <w:noProof/>
        </w:rPr>
        <mc:AlternateContent>
          <mc:Choice Requires="wps">
            <w:drawing>
              <wp:anchor distT="45720" distB="45720" distL="114300" distR="114300" simplePos="0" relativeHeight="251664384" behindDoc="0" locked="0" layoutInCell="1" allowOverlap="1" wp14:anchorId="339D988C" wp14:editId="678A6C70">
                <wp:simplePos x="0" y="0"/>
                <wp:positionH relativeFrom="margin">
                  <wp:align>left</wp:align>
                </wp:positionH>
                <wp:positionV relativeFrom="page">
                  <wp:align>bottom</wp:align>
                </wp:positionV>
                <wp:extent cx="3883025" cy="854710"/>
                <wp:effectExtent l="0" t="0" r="0" b="254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854710"/>
                        </a:xfrm>
                        <a:prstGeom prst="rect">
                          <a:avLst/>
                        </a:prstGeom>
                        <a:noFill/>
                        <a:ln w="9525">
                          <a:noFill/>
                          <a:miter lim="800000"/>
                          <a:headEnd/>
                          <a:tailEnd/>
                        </a:ln>
                      </wps:spPr>
                      <wps:txbx>
                        <w:txbxContent>
                          <w:p w14:paraId="05133535" w14:textId="516767E9" w:rsidR="006B535B" w:rsidRDefault="00173235" w:rsidP="006B535B">
                            <w:pPr>
                              <w:pStyle w:val="Subtitle"/>
                            </w:pPr>
                            <w:r>
                              <w:t>Maart 2026</w:t>
                            </w:r>
                          </w:p>
                          <w:p w14:paraId="2F16DF56" w14:textId="7E81BFCD" w:rsidR="00173235" w:rsidRPr="00173235" w:rsidRDefault="0070186C" w:rsidP="00173235">
                            <w:pPr>
                              <w:pStyle w:val="Subtitle"/>
                            </w:pPr>
                            <w:r w:rsidRPr="0070186C">
                              <w:t>Directie Beleid &amp;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9D988C" id="_x0000_t202" coordsize="21600,21600" o:spt="202" path="m,l,21600r21600,l21600,xe">
                <v:stroke joinstyle="miter"/>
                <v:path gradientshapeok="t" o:connecttype="rect"/>
              </v:shapetype>
              <v:shape id="Tekstvak 2" o:spid="_x0000_s1026" type="#_x0000_t202" style="position:absolute;left:0;text-align:left;margin-left:0;margin-top:0;width:305.75pt;height:67.3pt;z-index:251664384;visibility:visible;mso-wrap-style:square;mso-width-percent:0;mso-height-percent:0;mso-wrap-distance-left:9pt;mso-wrap-distance-top:3.6pt;mso-wrap-distance-right:9pt;mso-wrap-distance-bottom:3.6pt;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" filled="f" stroked="f">
                <v:textbox>
                  <w:txbxContent>
                    <w:p w14:paraId="05133535" w14:textId="516767E9" w:rsidR="006B535B" w:rsidRDefault="00173235" w:rsidP="006B535B">
                      <w:pPr>
                        <w:pStyle w:val="Subtitle"/>
                      </w:pPr>
                      <w:r>
                        <w:t>Maart 2026</w:t>
                      </w:r>
                    </w:p>
                    <w:p w14:paraId="2F16DF56" w14:textId="7E81BFCD" w:rsidR="00173235" w:rsidRPr="00173235" w:rsidRDefault="0070186C" w:rsidP="00173235">
                      <w:pPr>
                        <w:pStyle w:val="Subtitle"/>
                      </w:pPr>
                      <w:r w:rsidRPr="0070186C">
                        <w:t>Directie Beleid &amp; Studies</w:t>
                      </w:r>
                    </w:p>
                  </w:txbxContent>
                </v:textbox>
                <w10:wrap type="square" anchorx="margin" anchory="page"/>
              </v:shape>
            </w:pict>
          </mc:Fallback>
        </mc:AlternateContent>
      </w:r>
      <w:r>
        <w:rPr>
          <w:noProof/>
        </w:rPr>
        <w:drawing>
          <wp:anchor distT="0" distB="0" distL="114300" distR="114300" simplePos="0" relativeHeight="251662336" behindDoc="0" locked="0" layoutInCell="1" allowOverlap="1" wp14:anchorId="51DD5016" wp14:editId="732EECDD">
            <wp:simplePos x="0" y="0"/>
            <wp:positionH relativeFrom="margin">
              <wp:posOffset>4334510</wp:posOffset>
            </wp:positionH>
            <wp:positionV relativeFrom="page">
              <wp:posOffset>9665335</wp:posOffset>
            </wp:positionV>
            <wp:extent cx="1907540" cy="766445"/>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540" cy="766445"/>
                    </a:xfrm>
                    <a:prstGeom prst="rect">
                      <a:avLst/>
                    </a:prstGeom>
                  </pic:spPr>
                </pic:pic>
              </a:graphicData>
            </a:graphic>
            <wp14:sizeRelH relativeFrom="margin">
              <wp14:pctWidth>0</wp14:pctWidth>
            </wp14:sizeRelH>
            <wp14:sizeRelV relativeFrom="margin">
              <wp14:pctHeight>0</wp14:pctHeight>
            </wp14:sizeRelV>
          </wp:anchor>
        </w:drawing>
      </w:r>
      <w:r w:rsidR="00173235">
        <w:rPr>
          <w:noProof/>
        </w:rPr>
        <mc:AlternateContent>
          <mc:Choice Requires="wps">
            <w:drawing>
              <wp:anchor distT="45720" distB="45720" distL="114300" distR="114300" simplePos="0" relativeHeight="251663360" behindDoc="0" locked="0" layoutInCell="1" allowOverlap="1" wp14:anchorId="42EC8B90" wp14:editId="2E6FDA51">
                <wp:simplePos x="0" y="0"/>
                <wp:positionH relativeFrom="page">
                  <wp:align>right</wp:align>
                </wp:positionH>
                <wp:positionV relativeFrom="margin">
                  <wp:posOffset>-584200</wp:posOffset>
                </wp:positionV>
                <wp:extent cx="3194050" cy="110490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104900"/>
                        </a:xfrm>
                        <a:prstGeom prst="rect">
                          <a:avLst/>
                        </a:prstGeom>
                        <a:noFill/>
                        <a:ln w="9525">
                          <a:noFill/>
                          <a:miter lim="800000"/>
                          <a:headEnd/>
                          <a:tailEnd/>
                        </a:ln>
                      </wps:spPr>
                      <wps:txbx>
                        <w:txbxContent>
                          <w:p w14:paraId="39E229D4" w14:textId="2AD6D8FD" w:rsidR="006B535B" w:rsidRPr="00137F7B" w:rsidRDefault="00137F7B" w:rsidP="006B535B">
                            <w:pPr>
                              <w:pStyle w:val="Title"/>
                            </w:pPr>
                            <w:r w:rsidRPr="00137F7B">
                              <w:rPr>
                                <w:b w:val="0"/>
                                <w:bCs/>
                                <w:smallCaps/>
                              </w:rPr>
                              <w:t xml:space="preserve">Wanneer </w:t>
                            </w:r>
                            <w:proofErr w:type="spellStart"/>
                            <w:r w:rsidRPr="00137F7B">
                              <w:rPr>
                                <w:b w:val="0"/>
                                <w:bCs/>
                                <w:smallCaps/>
                              </w:rPr>
                              <w:t>orthodontische</w:t>
                            </w:r>
                            <w:proofErr w:type="spellEnd"/>
                            <w:r w:rsidRPr="00137F7B">
                              <w:rPr>
                                <w:b w:val="0"/>
                                <w:bCs/>
                                <w:smallCaps/>
                              </w:rPr>
                              <w:t xml:space="preserve"> zorg de sociale ongelijkheden verdiept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E703209">
              <v:shape id="_x0000_s1027" style="position:absolute;margin-left:200.3pt;margin-top:-46pt;width:251.5pt;height:87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margin;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" w14:anchorId="42EC8B90">
                <v:textbox>
                  <w:txbxContent>
                    <w:p w:rsidRPr="00137F7B" w:rsidR="006B535B" w:rsidP="006B535B" w:rsidRDefault="00137F7B" w14:paraId="46EDE16B" w14:textId="2AD6D8FD">
                      <w:pPr>
                        <w:pStyle w:val="Title"/>
                      </w:pPr>
                      <w:r w:rsidRPr="00137F7B">
                        <w:rPr>
                          <w:b w:val="0"/>
                          <w:bCs/>
                          <w:smallCaps/>
                        </w:rPr>
                        <w:t xml:space="preserve">Wanneer </w:t>
                      </w:r>
                      <w:proofErr w:type="spellStart"/>
                      <w:r w:rsidRPr="00137F7B">
                        <w:rPr>
                          <w:b w:val="0"/>
                          <w:bCs/>
                          <w:smallCaps/>
                        </w:rPr>
                        <w:t>orthodontische</w:t>
                      </w:r>
                      <w:proofErr w:type="spellEnd"/>
                      <w:r w:rsidRPr="00137F7B">
                        <w:rPr>
                          <w:b w:val="0"/>
                          <w:bCs/>
                          <w:smallCaps/>
                        </w:rPr>
                        <w:t xml:space="preserve"> zorg de sociale ongelijkheden verdiept</w:t>
                      </w:r>
                    </w:p>
                  </w:txbxContent>
                </v:textbox>
                <w10:wrap type="square" anchorx="page" anchory="margin"/>
              </v:shape>
            </w:pict>
          </mc:Fallback>
        </mc:AlternateContent>
      </w:r>
      <w:r w:rsidR="00173235">
        <w:rPr>
          <w:noProof/>
        </w:rPr>
        <w:drawing>
          <wp:anchor distT="0" distB="0" distL="114300" distR="114300" simplePos="0" relativeHeight="251661312" behindDoc="0" locked="0" layoutInCell="1" allowOverlap="1" wp14:anchorId="4E3F6597" wp14:editId="107520AC">
            <wp:simplePos x="0" y="0"/>
            <wp:positionH relativeFrom="margin">
              <wp:posOffset>2783840</wp:posOffset>
            </wp:positionH>
            <wp:positionV relativeFrom="margin">
              <wp:posOffset>-908050</wp:posOffset>
            </wp:positionV>
            <wp:extent cx="3852455" cy="22675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2">
                      <a:extLst>
                        <a:ext uri="{28A0092B-C50C-407E-A947-70E740481C1C}">
                          <a14:useLocalDpi xmlns:a14="http://schemas.microsoft.com/office/drawing/2010/main" val="0"/>
                        </a:ext>
                      </a:extLst>
                    </a:blip>
                    <a:stretch>
                      <a:fillRect/>
                    </a:stretch>
                  </pic:blipFill>
                  <pic:spPr>
                    <a:xfrm>
                      <a:off x="0" y="0"/>
                      <a:ext cx="3852455" cy="2267585"/>
                    </a:xfrm>
                    <a:prstGeom prst="rect">
                      <a:avLst/>
                    </a:prstGeom>
                  </pic:spPr>
                </pic:pic>
              </a:graphicData>
            </a:graphic>
          </wp:anchor>
        </w:drawing>
      </w:r>
      <w:r w:rsidR="00173235">
        <w:rPr>
          <w:noProof/>
        </w:rPr>
        <w:drawing>
          <wp:anchor distT="0" distB="0" distL="114300" distR="114300" simplePos="0" relativeHeight="251658239" behindDoc="0" locked="0" layoutInCell="1" allowOverlap="1" wp14:anchorId="2AA25875" wp14:editId="1356DC97">
            <wp:simplePos x="0" y="0"/>
            <wp:positionH relativeFrom="page">
              <wp:align>left</wp:align>
            </wp:positionH>
            <wp:positionV relativeFrom="page">
              <wp:align>top</wp:align>
            </wp:positionV>
            <wp:extent cx="7670800" cy="10848975"/>
            <wp:effectExtent l="0" t="0" r="6350" b="9525"/>
            <wp:wrapSquare wrapText="bothSides"/>
            <wp:docPr id="1284184072" name="Afbeelding 2" descr="Afbeelding met persoon, buiten, pers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person, staand&#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7670800" cy="10848975"/>
                    </a:xfrm>
                    <a:prstGeom prst="rect">
                      <a:avLst/>
                    </a:prstGeom>
                  </pic:spPr>
                </pic:pic>
              </a:graphicData>
            </a:graphic>
            <wp14:sizeRelH relativeFrom="margin">
              <wp14:pctWidth>0</wp14:pctWidth>
            </wp14:sizeRelH>
            <wp14:sizeRelV relativeFrom="margin">
              <wp14:pctHeight>0</wp14:pctHeight>
            </wp14:sizeRelV>
          </wp:anchor>
        </w:drawing>
      </w:r>
      <w:r w:rsidR="006B535B">
        <w:rPr>
          <w:noProof/>
        </w:rPr>
        <w:drawing>
          <wp:anchor distT="0" distB="0" distL="114300" distR="114300" simplePos="0" relativeHeight="251660288" behindDoc="0" locked="0" layoutInCell="1" allowOverlap="1" wp14:anchorId="76520210" wp14:editId="432606D7">
            <wp:simplePos x="0" y="0"/>
            <wp:positionH relativeFrom="margin">
              <wp:posOffset>-2540</wp:posOffset>
            </wp:positionH>
            <wp:positionV relativeFrom="margin">
              <wp:posOffset>8230680</wp:posOffset>
            </wp:positionV>
            <wp:extent cx="7559055" cy="2447549"/>
            <wp:effectExtent l="0" t="0" r="3810" b="0"/>
            <wp:wrapSquare wrapText="bothSides"/>
            <wp:docPr id="9" name="Afbeelding 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055" cy="2447549"/>
                    </a:xfrm>
                    <a:prstGeom prst="rect">
                      <a:avLst/>
                    </a:prstGeom>
                  </pic:spPr>
                </pic:pic>
              </a:graphicData>
            </a:graphic>
          </wp:anchor>
        </w:drawing>
      </w:r>
    </w:p>
    <w:sdt>
      <w:sdtPr>
        <w:rPr>
          <w:sz w:val="20"/>
          <w:szCs w:val="20"/>
          <w:lang w:val="nl-NL"/>
        </w:rPr>
        <w:id w:val="1920594395"/>
        <w:docPartObj>
          <w:docPartGallery w:val="Table of Contents"/>
          <w:docPartUnique/>
        </w:docPartObj>
      </w:sdtPr>
      <w:sdtEndPr>
        <w:rPr>
          <w:b/>
          <w:bCs/>
        </w:rPr>
      </w:sdtEndPr>
      <w:sdtContent>
        <w:p w14:paraId="560B56D1" w14:textId="1EE2E432" w:rsidR="006324E9" w:rsidRPr="00A328F3" w:rsidRDefault="00137F7B" w:rsidP="00A328F3">
          <w:pPr>
            <w:pStyle w:val="NoSpacing"/>
            <w:rPr>
              <w:color w:val="D90030"/>
              <w:sz w:val="40"/>
              <w:szCs w:val="40"/>
            </w:rPr>
          </w:pPr>
          <w:r>
            <w:rPr>
              <w:noProof/>
            </w:rPr>
            <w:drawing>
              <wp:anchor distT="0" distB="0" distL="114300" distR="114300" simplePos="0" relativeHeight="251659264" behindDoc="0" locked="0" layoutInCell="1" allowOverlap="1" wp14:anchorId="21C2A91E" wp14:editId="53E331DB">
                <wp:simplePos x="0" y="0"/>
                <wp:positionH relativeFrom="margin">
                  <wp:posOffset>-914400</wp:posOffset>
                </wp:positionH>
                <wp:positionV relativeFrom="margin">
                  <wp:posOffset>-11734800</wp:posOffset>
                </wp:positionV>
                <wp:extent cx="7670800" cy="10848975"/>
                <wp:effectExtent l="0" t="0" r="6350" b="9525"/>
                <wp:wrapSquare wrapText="bothSides"/>
                <wp:docPr id="2" name="Afbeelding 2" descr="Afbeelding met persoon, buiten, pers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buiten, person, staand&#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7670800" cy="10848975"/>
                        </a:xfrm>
                        <a:prstGeom prst="rect">
                          <a:avLst/>
                        </a:prstGeom>
                      </pic:spPr>
                    </pic:pic>
                  </a:graphicData>
                </a:graphic>
                <wp14:sizeRelH relativeFrom="margin">
                  <wp14:pctWidth>0</wp14:pctWidth>
                </wp14:sizeRelH>
                <wp14:sizeRelV relativeFrom="margin">
                  <wp14:pctHeight>0</wp14:pctHeight>
                </wp14:sizeRelV>
              </wp:anchor>
            </w:drawing>
          </w:r>
          <w:r w:rsidR="006324E9" w:rsidRPr="00A328F3">
            <w:rPr>
              <w:color w:val="D90030"/>
              <w:sz w:val="40"/>
              <w:szCs w:val="40"/>
              <w:lang w:val="nl-NL"/>
            </w:rPr>
            <w:t>Inhoud</w:t>
          </w:r>
        </w:p>
        <w:p w14:paraId="0C0E6439" w14:textId="77777777" w:rsidR="00A328F3" w:rsidRDefault="00A328F3" w:rsidP="003C4E91">
          <w:pPr>
            <w:pStyle w:val="TOC1"/>
            <w:jc w:val="both"/>
          </w:pPr>
        </w:p>
        <w:p w14:paraId="48016E3E" w14:textId="1621C595" w:rsidR="00AA1C39" w:rsidRDefault="006324E9">
          <w:pPr>
            <w:pStyle w:val="TOC1"/>
            <w:rPr>
              <w:rFonts w:asciiTheme="minorHAnsi" w:eastAsiaTheme="minorEastAsia" w:hAnsiTheme="minorHAnsi"/>
              <w:color w:val="auto"/>
              <w:kern w:val="2"/>
              <w:szCs w:val="24"/>
              <w:lang w:eastAsia="nl-BE"/>
              <w14:ligatures w14:val="standardContextual"/>
            </w:rPr>
          </w:pPr>
          <w:r w:rsidRPr="35F19B17">
            <w:fldChar w:fldCharType="begin"/>
          </w:r>
          <w:r>
            <w:instrText xml:space="preserve"> TOC \o "1-3" \h \z \u </w:instrText>
          </w:r>
          <w:r w:rsidRPr="35F19B17">
            <w:fldChar w:fldCharType="separate"/>
          </w:r>
          <w:hyperlink w:anchor="_Toc226551722" w:history="1">
            <w:r w:rsidR="00AA1C39" w:rsidRPr="00A05087">
              <w:rPr>
                <w:rStyle w:val="Hyperlink"/>
              </w:rPr>
              <w:t>1</w:t>
            </w:r>
            <w:r w:rsidR="00AA1C39">
              <w:rPr>
                <w:rFonts w:asciiTheme="minorHAnsi" w:eastAsiaTheme="minorEastAsia" w:hAnsiTheme="minorHAnsi"/>
                <w:color w:val="auto"/>
                <w:kern w:val="2"/>
                <w:szCs w:val="24"/>
                <w:lang w:eastAsia="nl-BE"/>
                <w14:ligatures w14:val="standardContextual"/>
              </w:rPr>
              <w:tab/>
            </w:r>
            <w:r w:rsidR="00AA1C39" w:rsidRPr="00A05087">
              <w:rPr>
                <w:rStyle w:val="Hyperlink"/>
              </w:rPr>
              <w:t>Samenvatting</w:t>
            </w:r>
            <w:r w:rsidR="00AA1C39">
              <w:rPr>
                <w:webHidden/>
              </w:rPr>
              <w:tab/>
            </w:r>
            <w:r w:rsidR="00AA1C39">
              <w:rPr>
                <w:webHidden/>
              </w:rPr>
              <w:fldChar w:fldCharType="begin"/>
            </w:r>
            <w:r w:rsidR="00AA1C39">
              <w:rPr>
                <w:webHidden/>
              </w:rPr>
              <w:instrText xml:space="preserve"> PAGEREF _Toc226551722 \h </w:instrText>
            </w:r>
            <w:r w:rsidR="00AA1C39">
              <w:rPr>
                <w:webHidden/>
              </w:rPr>
            </w:r>
            <w:r w:rsidR="00AA1C39">
              <w:rPr>
                <w:webHidden/>
              </w:rPr>
              <w:fldChar w:fldCharType="separate"/>
            </w:r>
            <w:r w:rsidR="00AA1C39">
              <w:rPr>
                <w:webHidden/>
              </w:rPr>
              <w:t>3</w:t>
            </w:r>
            <w:r w:rsidR="00AA1C39">
              <w:rPr>
                <w:webHidden/>
              </w:rPr>
              <w:fldChar w:fldCharType="end"/>
            </w:r>
          </w:hyperlink>
        </w:p>
        <w:p w14:paraId="79EF2260" w14:textId="7793B92C"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3" w:history="1">
            <w:r w:rsidRPr="00A05087">
              <w:rPr>
                <w:rStyle w:val="Hyperlink"/>
                <w:i/>
                <w:iCs/>
                <w:noProof/>
              </w:rPr>
              <w:t>1.1</w:t>
            </w:r>
            <w:r>
              <w:rPr>
                <w:rFonts w:asciiTheme="minorHAnsi" w:eastAsiaTheme="minorEastAsia" w:hAnsiTheme="minorHAnsi"/>
                <w:noProof/>
                <w:kern w:val="2"/>
                <w:sz w:val="24"/>
                <w:szCs w:val="24"/>
                <w:lang w:eastAsia="nl-BE"/>
                <w14:ligatures w14:val="standardContextual"/>
              </w:rPr>
              <w:tab/>
            </w:r>
            <w:r w:rsidRPr="00A05087">
              <w:rPr>
                <w:rStyle w:val="Hyperlink"/>
                <w:i/>
                <w:iCs/>
                <w:noProof/>
              </w:rPr>
              <w:t>Wat de cijfers tonen (Vlaanderen)</w:t>
            </w:r>
            <w:r>
              <w:rPr>
                <w:noProof/>
                <w:webHidden/>
              </w:rPr>
              <w:tab/>
            </w:r>
            <w:r>
              <w:rPr>
                <w:noProof/>
                <w:webHidden/>
              </w:rPr>
              <w:fldChar w:fldCharType="begin"/>
            </w:r>
            <w:r>
              <w:rPr>
                <w:noProof/>
                <w:webHidden/>
              </w:rPr>
              <w:instrText xml:space="preserve"> PAGEREF _Toc226551723 \h </w:instrText>
            </w:r>
            <w:r>
              <w:rPr>
                <w:noProof/>
                <w:webHidden/>
              </w:rPr>
            </w:r>
            <w:r>
              <w:rPr>
                <w:noProof/>
                <w:webHidden/>
              </w:rPr>
              <w:fldChar w:fldCharType="separate"/>
            </w:r>
            <w:r>
              <w:rPr>
                <w:noProof/>
                <w:webHidden/>
              </w:rPr>
              <w:t>3</w:t>
            </w:r>
            <w:r>
              <w:rPr>
                <w:noProof/>
                <w:webHidden/>
              </w:rPr>
              <w:fldChar w:fldCharType="end"/>
            </w:r>
          </w:hyperlink>
        </w:p>
        <w:p w14:paraId="6606C59E" w14:textId="500F01BE"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4" w:history="1">
            <w:r w:rsidRPr="00A05087">
              <w:rPr>
                <w:rStyle w:val="Hyperlink"/>
                <w:noProof/>
              </w:rPr>
              <w:t>1.2</w:t>
            </w:r>
            <w:r>
              <w:rPr>
                <w:rFonts w:asciiTheme="minorHAnsi" w:eastAsiaTheme="minorEastAsia" w:hAnsiTheme="minorHAnsi"/>
                <w:noProof/>
                <w:kern w:val="2"/>
                <w:sz w:val="24"/>
                <w:szCs w:val="24"/>
                <w:lang w:eastAsia="nl-BE"/>
                <w14:ligatures w14:val="standardContextual"/>
              </w:rPr>
              <w:tab/>
            </w:r>
            <w:r w:rsidRPr="00A05087">
              <w:rPr>
                <w:rStyle w:val="Hyperlink"/>
                <w:noProof/>
              </w:rPr>
              <w:t>Sterke sociale gradiënt in toegang (2024)</w:t>
            </w:r>
            <w:r>
              <w:rPr>
                <w:noProof/>
                <w:webHidden/>
              </w:rPr>
              <w:tab/>
            </w:r>
            <w:r>
              <w:rPr>
                <w:noProof/>
                <w:webHidden/>
              </w:rPr>
              <w:fldChar w:fldCharType="begin"/>
            </w:r>
            <w:r>
              <w:rPr>
                <w:noProof/>
                <w:webHidden/>
              </w:rPr>
              <w:instrText xml:space="preserve"> PAGEREF _Toc226551724 \h </w:instrText>
            </w:r>
            <w:r>
              <w:rPr>
                <w:noProof/>
                <w:webHidden/>
              </w:rPr>
            </w:r>
            <w:r>
              <w:rPr>
                <w:noProof/>
                <w:webHidden/>
              </w:rPr>
              <w:fldChar w:fldCharType="separate"/>
            </w:r>
            <w:r>
              <w:rPr>
                <w:noProof/>
                <w:webHidden/>
              </w:rPr>
              <w:t>3</w:t>
            </w:r>
            <w:r>
              <w:rPr>
                <w:noProof/>
                <w:webHidden/>
              </w:rPr>
              <w:fldChar w:fldCharType="end"/>
            </w:r>
          </w:hyperlink>
        </w:p>
        <w:p w14:paraId="2CD82B45" w14:textId="4B517267"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5" w:history="1">
            <w:r w:rsidRPr="00A05087">
              <w:rPr>
                <w:rStyle w:val="Hyperlink"/>
                <w:i/>
                <w:iCs/>
                <w:noProof/>
              </w:rPr>
              <w:t>1.3</w:t>
            </w:r>
            <w:r>
              <w:rPr>
                <w:rFonts w:asciiTheme="minorHAnsi" w:eastAsiaTheme="minorEastAsia" w:hAnsiTheme="minorHAnsi"/>
                <w:noProof/>
                <w:kern w:val="2"/>
                <w:sz w:val="24"/>
                <w:szCs w:val="24"/>
                <w:lang w:eastAsia="nl-BE"/>
                <w14:ligatures w14:val="standardContextual"/>
              </w:rPr>
              <w:tab/>
            </w:r>
            <w:r w:rsidRPr="00A05087">
              <w:rPr>
                <w:rStyle w:val="Hyperlink"/>
                <w:i/>
                <w:iCs/>
                <w:noProof/>
              </w:rPr>
              <w:t>Wat betaalt de patiënt écht?</w:t>
            </w:r>
            <w:r>
              <w:rPr>
                <w:noProof/>
                <w:webHidden/>
              </w:rPr>
              <w:tab/>
            </w:r>
            <w:r>
              <w:rPr>
                <w:noProof/>
                <w:webHidden/>
              </w:rPr>
              <w:fldChar w:fldCharType="begin"/>
            </w:r>
            <w:r>
              <w:rPr>
                <w:noProof/>
                <w:webHidden/>
              </w:rPr>
              <w:instrText xml:space="preserve"> PAGEREF _Toc226551725 \h </w:instrText>
            </w:r>
            <w:r>
              <w:rPr>
                <w:noProof/>
                <w:webHidden/>
              </w:rPr>
            </w:r>
            <w:r>
              <w:rPr>
                <w:noProof/>
                <w:webHidden/>
              </w:rPr>
              <w:fldChar w:fldCharType="separate"/>
            </w:r>
            <w:r>
              <w:rPr>
                <w:noProof/>
                <w:webHidden/>
              </w:rPr>
              <w:t>3</w:t>
            </w:r>
            <w:r>
              <w:rPr>
                <w:noProof/>
                <w:webHidden/>
              </w:rPr>
              <w:fldChar w:fldCharType="end"/>
            </w:r>
          </w:hyperlink>
        </w:p>
        <w:p w14:paraId="7C00CCFB" w14:textId="7AAE6CDE"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6" w:history="1">
            <w:r w:rsidRPr="00A05087">
              <w:rPr>
                <w:rStyle w:val="Hyperlink"/>
                <w:noProof/>
              </w:rPr>
              <w:t>1.4</w:t>
            </w:r>
            <w:r>
              <w:rPr>
                <w:rFonts w:asciiTheme="minorHAnsi" w:eastAsiaTheme="minorEastAsia" w:hAnsiTheme="minorHAnsi"/>
                <w:noProof/>
                <w:kern w:val="2"/>
                <w:sz w:val="24"/>
                <w:szCs w:val="24"/>
                <w:lang w:eastAsia="nl-BE"/>
                <w14:ligatures w14:val="standardContextual"/>
              </w:rPr>
              <w:tab/>
            </w:r>
            <w:r w:rsidRPr="00A05087">
              <w:rPr>
                <w:rStyle w:val="Hyperlink"/>
                <w:noProof/>
              </w:rPr>
              <w:t>Sleutelmechanisme achter de hoge kosten: niet-conventionering</w:t>
            </w:r>
            <w:r>
              <w:rPr>
                <w:noProof/>
                <w:webHidden/>
              </w:rPr>
              <w:tab/>
            </w:r>
            <w:r>
              <w:rPr>
                <w:noProof/>
                <w:webHidden/>
              </w:rPr>
              <w:fldChar w:fldCharType="begin"/>
            </w:r>
            <w:r>
              <w:rPr>
                <w:noProof/>
                <w:webHidden/>
              </w:rPr>
              <w:instrText xml:space="preserve"> PAGEREF _Toc226551726 \h </w:instrText>
            </w:r>
            <w:r>
              <w:rPr>
                <w:noProof/>
                <w:webHidden/>
              </w:rPr>
            </w:r>
            <w:r>
              <w:rPr>
                <w:noProof/>
                <w:webHidden/>
              </w:rPr>
              <w:fldChar w:fldCharType="separate"/>
            </w:r>
            <w:r>
              <w:rPr>
                <w:noProof/>
                <w:webHidden/>
              </w:rPr>
              <w:t>3</w:t>
            </w:r>
            <w:r>
              <w:rPr>
                <w:noProof/>
                <w:webHidden/>
              </w:rPr>
              <w:fldChar w:fldCharType="end"/>
            </w:r>
          </w:hyperlink>
        </w:p>
        <w:p w14:paraId="45C4ADFF" w14:textId="051684B5"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7" w:history="1">
            <w:r w:rsidRPr="00A05087">
              <w:rPr>
                <w:rStyle w:val="Hyperlink"/>
                <w:i/>
                <w:iCs/>
                <w:noProof/>
              </w:rPr>
              <w:t>1.5</w:t>
            </w:r>
            <w:r>
              <w:rPr>
                <w:rFonts w:asciiTheme="minorHAnsi" w:eastAsiaTheme="minorEastAsia" w:hAnsiTheme="minorHAnsi"/>
                <w:noProof/>
                <w:kern w:val="2"/>
                <w:sz w:val="24"/>
                <w:szCs w:val="24"/>
                <w:lang w:eastAsia="nl-BE"/>
                <w14:ligatures w14:val="standardContextual"/>
              </w:rPr>
              <w:tab/>
            </w:r>
            <w:r w:rsidRPr="00A05087">
              <w:rPr>
                <w:rStyle w:val="Hyperlink"/>
                <w:i/>
                <w:iCs/>
                <w:noProof/>
              </w:rPr>
              <w:t>Beleidsrisico’s in het akkoord 2026–2027: “maximale tarieven”</w:t>
            </w:r>
            <w:r>
              <w:rPr>
                <w:noProof/>
                <w:webHidden/>
              </w:rPr>
              <w:tab/>
            </w:r>
            <w:r>
              <w:rPr>
                <w:noProof/>
                <w:webHidden/>
              </w:rPr>
              <w:fldChar w:fldCharType="begin"/>
            </w:r>
            <w:r>
              <w:rPr>
                <w:noProof/>
                <w:webHidden/>
              </w:rPr>
              <w:instrText xml:space="preserve"> PAGEREF _Toc226551727 \h </w:instrText>
            </w:r>
            <w:r>
              <w:rPr>
                <w:noProof/>
                <w:webHidden/>
              </w:rPr>
            </w:r>
            <w:r>
              <w:rPr>
                <w:noProof/>
                <w:webHidden/>
              </w:rPr>
              <w:fldChar w:fldCharType="separate"/>
            </w:r>
            <w:r>
              <w:rPr>
                <w:noProof/>
                <w:webHidden/>
              </w:rPr>
              <w:t>3</w:t>
            </w:r>
            <w:r>
              <w:rPr>
                <w:noProof/>
                <w:webHidden/>
              </w:rPr>
              <w:fldChar w:fldCharType="end"/>
            </w:r>
          </w:hyperlink>
        </w:p>
        <w:p w14:paraId="2553F05F" w14:textId="79CAAD94"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28" w:history="1">
            <w:r w:rsidRPr="00A05087">
              <w:rPr>
                <w:rStyle w:val="Hyperlink"/>
                <w:noProof/>
              </w:rPr>
              <w:t>1.6</w:t>
            </w:r>
            <w:r>
              <w:rPr>
                <w:rFonts w:asciiTheme="minorHAnsi" w:eastAsiaTheme="minorEastAsia" w:hAnsiTheme="minorHAnsi"/>
                <w:noProof/>
                <w:kern w:val="2"/>
                <w:sz w:val="24"/>
                <w:szCs w:val="24"/>
                <w:lang w:eastAsia="nl-BE"/>
                <w14:ligatures w14:val="standardContextual"/>
              </w:rPr>
              <w:tab/>
            </w:r>
            <w:r w:rsidRPr="00A05087">
              <w:rPr>
                <w:rStyle w:val="Hyperlink"/>
                <w:noProof/>
              </w:rPr>
              <w:t>Wat Solidaris aanbeveelt</w:t>
            </w:r>
            <w:r>
              <w:rPr>
                <w:noProof/>
                <w:webHidden/>
              </w:rPr>
              <w:tab/>
            </w:r>
            <w:r>
              <w:rPr>
                <w:noProof/>
                <w:webHidden/>
              </w:rPr>
              <w:fldChar w:fldCharType="begin"/>
            </w:r>
            <w:r>
              <w:rPr>
                <w:noProof/>
                <w:webHidden/>
              </w:rPr>
              <w:instrText xml:space="preserve"> PAGEREF _Toc226551728 \h </w:instrText>
            </w:r>
            <w:r>
              <w:rPr>
                <w:noProof/>
                <w:webHidden/>
              </w:rPr>
            </w:r>
            <w:r>
              <w:rPr>
                <w:noProof/>
                <w:webHidden/>
              </w:rPr>
              <w:fldChar w:fldCharType="separate"/>
            </w:r>
            <w:r>
              <w:rPr>
                <w:noProof/>
                <w:webHidden/>
              </w:rPr>
              <w:t>4</w:t>
            </w:r>
            <w:r>
              <w:rPr>
                <w:noProof/>
                <w:webHidden/>
              </w:rPr>
              <w:fldChar w:fldCharType="end"/>
            </w:r>
          </w:hyperlink>
        </w:p>
        <w:p w14:paraId="20393319" w14:textId="055F7FD0" w:rsidR="00AA1C39" w:rsidRDefault="00AA1C39">
          <w:pPr>
            <w:pStyle w:val="TOC1"/>
            <w:rPr>
              <w:rFonts w:asciiTheme="minorHAnsi" w:eastAsiaTheme="minorEastAsia" w:hAnsiTheme="minorHAnsi"/>
              <w:color w:val="auto"/>
              <w:kern w:val="2"/>
              <w:szCs w:val="24"/>
              <w:lang w:eastAsia="nl-BE"/>
              <w14:ligatures w14:val="standardContextual"/>
            </w:rPr>
          </w:pPr>
          <w:hyperlink w:anchor="_Toc226551729" w:history="1">
            <w:r w:rsidRPr="00A05087">
              <w:rPr>
                <w:rStyle w:val="Hyperlink"/>
                <w:lang w:val="en-US"/>
              </w:rPr>
              <w:t>2</w:t>
            </w:r>
            <w:r>
              <w:rPr>
                <w:rFonts w:asciiTheme="minorHAnsi" w:eastAsiaTheme="minorEastAsia" w:hAnsiTheme="minorHAnsi"/>
                <w:color w:val="auto"/>
                <w:kern w:val="2"/>
                <w:szCs w:val="24"/>
                <w:lang w:eastAsia="nl-BE"/>
                <w14:ligatures w14:val="standardContextual"/>
              </w:rPr>
              <w:tab/>
            </w:r>
            <w:r w:rsidRPr="00A05087">
              <w:rPr>
                <w:rStyle w:val="Hyperlink"/>
                <w:lang w:val="en-US"/>
              </w:rPr>
              <w:t>Inleiding en context</w:t>
            </w:r>
            <w:r>
              <w:rPr>
                <w:webHidden/>
              </w:rPr>
              <w:tab/>
            </w:r>
            <w:r>
              <w:rPr>
                <w:webHidden/>
              </w:rPr>
              <w:fldChar w:fldCharType="begin"/>
            </w:r>
            <w:r>
              <w:rPr>
                <w:webHidden/>
              </w:rPr>
              <w:instrText xml:space="preserve"> PAGEREF _Toc226551729 \h </w:instrText>
            </w:r>
            <w:r>
              <w:rPr>
                <w:webHidden/>
              </w:rPr>
            </w:r>
            <w:r>
              <w:rPr>
                <w:webHidden/>
              </w:rPr>
              <w:fldChar w:fldCharType="separate"/>
            </w:r>
            <w:r>
              <w:rPr>
                <w:webHidden/>
              </w:rPr>
              <w:t>5</w:t>
            </w:r>
            <w:r>
              <w:rPr>
                <w:webHidden/>
              </w:rPr>
              <w:fldChar w:fldCharType="end"/>
            </w:r>
          </w:hyperlink>
        </w:p>
        <w:p w14:paraId="4D69FD9A" w14:textId="75381DED" w:rsidR="00AA1C39" w:rsidRDefault="00AA1C39">
          <w:pPr>
            <w:pStyle w:val="TOC1"/>
            <w:rPr>
              <w:rFonts w:asciiTheme="minorHAnsi" w:eastAsiaTheme="minorEastAsia" w:hAnsiTheme="minorHAnsi"/>
              <w:color w:val="auto"/>
              <w:kern w:val="2"/>
              <w:szCs w:val="24"/>
              <w:lang w:eastAsia="nl-BE"/>
              <w14:ligatures w14:val="standardContextual"/>
            </w:rPr>
          </w:pPr>
          <w:hyperlink w:anchor="_Toc226551730" w:history="1">
            <w:r w:rsidRPr="00A05087">
              <w:rPr>
                <w:rStyle w:val="Hyperlink"/>
              </w:rPr>
              <w:t>3</w:t>
            </w:r>
            <w:r>
              <w:rPr>
                <w:rFonts w:asciiTheme="minorHAnsi" w:eastAsiaTheme="minorEastAsia" w:hAnsiTheme="minorHAnsi"/>
                <w:color w:val="auto"/>
                <w:kern w:val="2"/>
                <w:szCs w:val="24"/>
                <w:lang w:eastAsia="nl-BE"/>
                <w14:ligatures w14:val="standardContextual"/>
              </w:rPr>
              <w:tab/>
            </w:r>
            <w:r w:rsidRPr="00A05087">
              <w:rPr>
                <w:rStyle w:val="Hyperlink"/>
              </w:rPr>
              <w:t>Doel en afbakening van de huidige studie</w:t>
            </w:r>
            <w:r>
              <w:rPr>
                <w:webHidden/>
              </w:rPr>
              <w:tab/>
            </w:r>
            <w:r>
              <w:rPr>
                <w:webHidden/>
              </w:rPr>
              <w:fldChar w:fldCharType="begin"/>
            </w:r>
            <w:r>
              <w:rPr>
                <w:webHidden/>
              </w:rPr>
              <w:instrText xml:space="preserve"> PAGEREF _Toc226551730 \h </w:instrText>
            </w:r>
            <w:r>
              <w:rPr>
                <w:webHidden/>
              </w:rPr>
            </w:r>
            <w:r>
              <w:rPr>
                <w:webHidden/>
              </w:rPr>
              <w:fldChar w:fldCharType="separate"/>
            </w:r>
            <w:r>
              <w:rPr>
                <w:webHidden/>
              </w:rPr>
              <w:t>5</w:t>
            </w:r>
            <w:r>
              <w:rPr>
                <w:webHidden/>
              </w:rPr>
              <w:fldChar w:fldCharType="end"/>
            </w:r>
          </w:hyperlink>
        </w:p>
        <w:p w14:paraId="7632EDA2" w14:textId="45A8F8AC" w:rsidR="00AA1C39" w:rsidRDefault="00AA1C39">
          <w:pPr>
            <w:pStyle w:val="TOC1"/>
            <w:rPr>
              <w:rFonts w:asciiTheme="minorHAnsi" w:eastAsiaTheme="minorEastAsia" w:hAnsiTheme="minorHAnsi"/>
              <w:color w:val="auto"/>
              <w:kern w:val="2"/>
              <w:szCs w:val="24"/>
              <w:lang w:eastAsia="nl-BE"/>
              <w14:ligatures w14:val="standardContextual"/>
            </w:rPr>
          </w:pPr>
          <w:hyperlink w:anchor="_Toc226551731" w:history="1">
            <w:r w:rsidRPr="00A05087">
              <w:rPr>
                <w:rStyle w:val="Hyperlink"/>
              </w:rPr>
              <w:t>4</w:t>
            </w:r>
            <w:r>
              <w:rPr>
                <w:rFonts w:asciiTheme="minorHAnsi" w:eastAsiaTheme="minorEastAsia" w:hAnsiTheme="minorHAnsi"/>
                <w:color w:val="auto"/>
                <w:kern w:val="2"/>
                <w:szCs w:val="24"/>
                <w:lang w:eastAsia="nl-BE"/>
                <w14:ligatures w14:val="standardContextual"/>
              </w:rPr>
              <w:tab/>
            </w:r>
            <w:r w:rsidRPr="00A05087">
              <w:rPr>
                <w:rStyle w:val="Hyperlink"/>
              </w:rPr>
              <w:t>Gegevens en methode</w:t>
            </w:r>
            <w:r>
              <w:rPr>
                <w:webHidden/>
              </w:rPr>
              <w:tab/>
            </w:r>
            <w:r>
              <w:rPr>
                <w:webHidden/>
              </w:rPr>
              <w:fldChar w:fldCharType="begin"/>
            </w:r>
            <w:r>
              <w:rPr>
                <w:webHidden/>
              </w:rPr>
              <w:instrText xml:space="preserve"> PAGEREF _Toc226551731 \h </w:instrText>
            </w:r>
            <w:r>
              <w:rPr>
                <w:webHidden/>
              </w:rPr>
            </w:r>
            <w:r>
              <w:rPr>
                <w:webHidden/>
              </w:rPr>
              <w:fldChar w:fldCharType="separate"/>
            </w:r>
            <w:r>
              <w:rPr>
                <w:webHidden/>
              </w:rPr>
              <w:t>5</w:t>
            </w:r>
            <w:r>
              <w:rPr>
                <w:webHidden/>
              </w:rPr>
              <w:fldChar w:fldCharType="end"/>
            </w:r>
          </w:hyperlink>
        </w:p>
        <w:p w14:paraId="1AD36740" w14:textId="2CD4F7A1" w:rsidR="00AA1C39" w:rsidRDefault="00AA1C39">
          <w:pPr>
            <w:pStyle w:val="TOC1"/>
            <w:rPr>
              <w:rFonts w:asciiTheme="minorHAnsi" w:eastAsiaTheme="minorEastAsia" w:hAnsiTheme="minorHAnsi"/>
              <w:color w:val="auto"/>
              <w:kern w:val="2"/>
              <w:szCs w:val="24"/>
              <w:lang w:eastAsia="nl-BE"/>
              <w14:ligatures w14:val="standardContextual"/>
            </w:rPr>
          </w:pPr>
          <w:hyperlink w:anchor="_Toc226551732" w:history="1">
            <w:r w:rsidRPr="00A05087">
              <w:rPr>
                <w:rStyle w:val="Hyperlink"/>
              </w:rPr>
              <w:t>5</w:t>
            </w:r>
            <w:r>
              <w:rPr>
                <w:rFonts w:asciiTheme="minorHAnsi" w:eastAsiaTheme="minorEastAsia" w:hAnsiTheme="minorHAnsi"/>
                <w:color w:val="auto"/>
                <w:kern w:val="2"/>
                <w:szCs w:val="24"/>
                <w:lang w:eastAsia="nl-BE"/>
                <w14:ligatures w14:val="standardContextual"/>
              </w:rPr>
              <w:tab/>
            </w:r>
            <w:r w:rsidRPr="00A05087">
              <w:rPr>
                <w:rStyle w:val="Hyperlink"/>
              </w:rPr>
              <w:t>Resultaten</w:t>
            </w:r>
            <w:r>
              <w:rPr>
                <w:webHidden/>
              </w:rPr>
              <w:tab/>
            </w:r>
            <w:r>
              <w:rPr>
                <w:webHidden/>
              </w:rPr>
              <w:fldChar w:fldCharType="begin"/>
            </w:r>
            <w:r>
              <w:rPr>
                <w:webHidden/>
              </w:rPr>
              <w:instrText xml:space="preserve"> PAGEREF _Toc226551732 \h </w:instrText>
            </w:r>
            <w:r>
              <w:rPr>
                <w:webHidden/>
              </w:rPr>
            </w:r>
            <w:r>
              <w:rPr>
                <w:webHidden/>
              </w:rPr>
              <w:fldChar w:fldCharType="separate"/>
            </w:r>
            <w:r>
              <w:rPr>
                <w:webHidden/>
              </w:rPr>
              <w:t>6</w:t>
            </w:r>
            <w:r>
              <w:rPr>
                <w:webHidden/>
              </w:rPr>
              <w:fldChar w:fldCharType="end"/>
            </w:r>
          </w:hyperlink>
        </w:p>
        <w:p w14:paraId="3B2CBE6B" w14:textId="2666E08A"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3" w:history="1">
            <w:r w:rsidRPr="00A05087">
              <w:rPr>
                <w:rStyle w:val="Hyperlink"/>
                <w:noProof/>
              </w:rPr>
              <w:t>5.1</w:t>
            </w:r>
            <w:r>
              <w:rPr>
                <w:rFonts w:asciiTheme="minorHAnsi" w:eastAsiaTheme="minorEastAsia" w:hAnsiTheme="minorHAnsi"/>
                <w:noProof/>
                <w:kern w:val="2"/>
                <w:sz w:val="24"/>
                <w:szCs w:val="24"/>
                <w:lang w:eastAsia="nl-BE"/>
                <w14:ligatures w14:val="standardContextual"/>
              </w:rPr>
              <w:tab/>
            </w:r>
            <w:r w:rsidRPr="00A05087">
              <w:rPr>
                <w:rStyle w:val="Hyperlink"/>
                <w:noProof/>
              </w:rPr>
              <w:t>Evolutie van zorgopname (2014–2024)</w:t>
            </w:r>
            <w:r>
              <w:rPr>
                <w:noProof/>
                <w:webHidden/>
              </w:rPr>
              <w:tab/>
            </w:r>
            <w:r>
              <w:rPr>
                <w:noProof/>
                <w:webHidden/>
              </w:rPr>
              <w:fldChar w:fldCharType="begin"/>
            </w:r>
            <w:r>
              <w:rPr>
                <w:noProof/>
                <w:webHidden/>
              </w:rPr>
              <w:instrText xml:space="preserve"> PAGEREF _Toc226551733 \h </w:instrText>
            </w:r>
            <w:r>
              <w:rPr>
                <w:noProof/>
                <w:webHidden/>
              </w:rPr>
            </w:r>
            <w:r>
              <w:rPr>
                <w:noProof/>
                <w:webHidden/>
              </w:rPr>
              <w:fldChar w:fldCharType="separate"/>
            </w:r>
            <w:r>
              <w:rPr>
                <w:noProof/>
                <w:webHidden/>
              </w:rPr>
              <w:t>6</w:t>
            </w:r>
            <w:r>
              <w:rPr>
                <w:noProof/>
                <w:webHidden/>
              </w:rPr>
              <w:fldChar w:fldCharType="end"/>
            </w:r>
          </w:hyperlink>
        </w:p>
        <w:p w14:paraId="3E91E33E" w14:textId="2A5C5AF6"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4" w:history="1">
            <w:r w:rsidRPr="00A05087">
              <w:rPr>
                <w:rStyle w:val="Hyperlink"/>
                <w:noProof/>
              </w:rPr>
              <w:t>5.2</w:t>
            </w:r>
            <w:r>
              <w:rPr>
                <w:rFonts w:asciiTheme="minorHAnsi" w:eastAsiaTheme="minorEastAsia" w:hAnsiTheme="minorHAnsi"/>
                <w:noProof/>
                <w:kern w:val="2"/>
                <w:sz w:val="24"/>
                <w:szCs w:val="24"/>
                <w:lang w:eastAsia="nl-BE"/>
                <w14:ligatures w14:val="standardContextual"/>
              </w:rPr>
              <w:tab/>
            </w:r>
            <w:r w:rsidRPr="00A05087">
              <w:rPr>
                <w:rStyle w:val="Hyperlink"/>
                <w:noProof/>
              </w:rPr>
              <w:t>Sociaal-economische toegankelijkheid (2024)</w:t>
            </w:r>
            <w:r>
              <w:rPr>
                <w:noProof/>
                <w:webHidden/>
              </w:rPr>
              <w:tab/>
            </w:r>
            <w:r>
              <w:rPr>
                <w:noProof/>
                <w:webHidden/>
              </w:rPr>
              <w:fldChar w:fldCharType="begin"/>
            </w:r>
            <w:r>
              <w:rPr>
                <w:noProof/>
                <w:webHidden/>
              </w:rPr>
              <w:instrText xml:space="preserve"> PAGEREF _Toc226551734 \h </w:instrText>
            </w:r>
            <w:r>
              <w:rPr>
                <w:noProof/>
                <w:webHidden/>
              </w:rPr>
            </w:r>
            <w:r>
              <w:rPr>
                <w:noProof/>
                <w:webHidden/>
              </w:rPr>
              <w:fldChar w:fldCharType="separate"/>
            </w:r>
            <w:r>
              <w:rPr>
                <w:noProof/>
                <w:webHidden/>
              </w:rPr>
              <w:t>7</w:t>
            </w:r>
            <w:r>
              <w:rPr>
                <w:noProof/>
                <w:webHidden/>
              </w:rPr>
              <w:fldChar w:fldCharType="end"/>
            </w:r>
          </w:hyperlink>
        </w:p>
        <w:p w14:paraId="7DC7893A" w14:textId="7040B618"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5" w:history="1">
            <w:r w:rsidRPr="00A05087">
              <w:rPr>
                <w:rStyle w:val="Hyperlink"/>
                <w:noProof/>
              </w:rPr>
              <w:t>5.3</w:t>
            </w:r>
            <w:r>
              <w:rPr>
                <w:rFonts w:asciiTheme="minorHAnsi" w:eastAsiaTheme="minorEastAsia" w:hAnsiTheme="minorHAnsi"/>
                <w:noProof/>
                <w:kern w:val="2"/>
                <w:sz w:val="24"/>
                <w:szCs w:val="24"/>
                <w:lang w:eastAsia="nl-BE"/>
                <w14:ligatures w14:val="standardContextual"/>
              </w:rPr>
              <w:tab/>
            </w:r>
            <w:r w:rsidRPr="00A05087">
              <w:rPr>
                <w:rStyle w:val="Hyperlink"/>
                <w:noProof/>
              </w:rPr>
              <w:t>Analyse van de variabiliteit van de behandelingskost: wat betaalt de patiënt werkelijk?</w:t>
            </w:r>
            <w:r>
              <w:rPr>
                <w:noProof/>
                <w:webHidden/>
              </w:rPr>
              <w:tab/>
            </w:r>
            <w:r>
              <w:rPr>
                <w:noProof/>
                <w:webHidden/>
              </w:rPr>
              <w:fldChar w:fldCharType="begin"/>
            </w:r>
            <w:r>
              <w:rPr>
                <w:noProof/>
                <w:webHidden/>
              </w:rPr>
              <w:instrText xml:space="preserve"> PAGEREF _Toc226551735 \h </w:instrText>
            </w:r>
            <w:r>
              <w:rPr>
                <w:noProof/>
                <w:webHidden/>
              </w:rPr>
            </w:r>
            <w:r>
              <w:rPr>
                <w:noProof/>
                <w:webHidden/>
              </w:rPr>
              <w:fldChar w:fldCharType="separate"/>
            </w:r>
            <w:r>
              <w:rPr>
                <w:noProof/>
                <w:webHidden/>
              </w:rPr>
              <w:t>7</w:t>
            </w:r>
            <w:r>
              <w:rPr>
                <w:noProof/>
                <w:webHidden/>
              </w:rPr>
              <w:fldChar w:fldCharType="end"/>
            </w:r>
          </w:hyperlink>
        </w:p>
        <w:p w14:paraId="6AE86FC0" w14:textId="1625D940" w:rsidR="00AA1C39" w:rsidRDefault="00AA1C39">
          <w:pPr>
            <w:pStyle w:val="TOC1"/>
            <w:rPr>
              <w:rFonts w:asciiTheme="minorHAnsi" w:eastAsiaTheme="minorEastAsia" w:hAnsiTheme="minorHAnsi"/>
              <w:color w:val="auto"/>
              <w:kern w:val="2"/>
              <w:szCs w:val="24"/>
              <w:lang w:eastAsia="nl-BE"/>
              <w14:ligatures w14:val="standardContextual"/>
            </w:rPr>
          </w:pPr>
          <w:hyperlink w:anchor="_Toc226551736" w:history="1">
            <w:r w:rsidRPr="00A05087">
              <w:rPr>
                <w:rStyle w:val="Hyperlink"/>
              </w:rPr>
              <w:t>6</w:t>
            </w:r>
            <w:r>
              <w:rPr>
                <w:rFonts w:asciiTheme="minorHAnsi" w:eastAsiaTheme="minorEastAsia" w:hAnsiTheme="minorHAnsi"/>
                <w:color w:val="auto"/>
                <w:kern w:val="2"/>
                <w:szCs w:val="24"/>
                <w:lang w:eastAsia="nl-BE"/>
                <w14:ligatures w14:val="standardContextual"/>
              </w:rPr>
              <w:tab/>
            </w:r>
            <w:r w:rsidRPr="00A05087">
              <w:rPr>
                <w:rStyle w:val="Hyperlink"/>
              </w:rPr>
              <w:t>Bespreking</w:t>
            </w:r>
            <w:r>
              <w:rPr>
                <w:webHidden/>
              </w:rPr>
              <w:tab/>
            </w:r>
            <w:r>
              <w:rPr>
                <w:webHidden/>
              </w:rPr>
              <w:fldChar w:fldCharType="begin"/>
            </w:r>
            <w:r>
              <w:rPr>
                <w:webHidden/>
              </w:rPr>
              <w:instrText xml:space="preserve"> PAGEREF _Toc226551736 \h </w:instrText>
            </w:r>
            <w:r>
              <w:rPr>
                <w:webHidden/>
              </w:rPr>
            </w:r>
            <w:r>
              <w:rPr>
                <w:webHidden/>
              </w:rPr>
              <w:fldChar w:fldCharType="separate"/>
            </w:r>
            <w:r>
              <w:rPr>
                <w:webHidden/>
              </w:rPr>
              <w:t>8</w:t>
            </w:r>
            <w:r>
              <w:rPr>
                <w:webHidden/>
              </w:rPr>
              <w:fldChar w:fldCharType="end"/>
            </w:r>
          </w:hyperlink>
        </w:p>
        <w:p w14:paraId="7214185A" w14:textId="7F7FD957"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7" w:history="1">
            <w:r w:rsidRPr="00A05087">
              <w:rPr>
                <w:rStyle w:val="Hyperlink"/>
                <w:noProof/>
              </w:rPr>
              <w:t>6.1</w:t>
            </w:r>
            <w:r>
              <w:rPr>
                <w:rFonts w:asciiTheme="minorHAnsi" w:eastAsiaTheme="minorEastAsia" w:hAnsiTheme="minorHAnsi"/>
                <w:noProof/>
                <w:kern w:val="2"/>
                <w:sz w:val="24"/>
                <w:szCs w:val="24"/>
                <w:lang w:eastAsia="nl-BE"/>
                <w14:ligatures w14:val="standardContextual"/>
              </w:rPr>
              <w:tab/>
            </w:r>
            <w:r w:rsidRPr="00A05087">
              <w:rPr>
                <w:rStyle w:val="Hyperlink"/>
                <w:noProof/>
              </w:rPr>
              <w:t>Kwalitatieve duiding: spanning tussen betaalbaarheid en praktijkrealiteit</w:t>
            </w:r>
            <w:r>
              <w:rPr>
                <w:noProof/>
                <w:webHidden/>
              </w:rPr>
              <w:tab/>
            </w:r>
            <w:r>
              <w:rPr>
                <w:noProof/>
                <w:webHidden/>
              </w:rPr>
              <w:fldChar w:fldCharType="begin"/>
            </w:r>
            <w:r>
              <w:rPr>
                <w:noProof/>
                <w:webHidden/>
              </w:rPr>
              <w:instrText xml:space="preserve"> PAGEREF _Toc226551737 \h </w:instrText>
            </w:r>
            <w:r>
              <w:rPr>
                <w:noProof/>
                <w:webHidden/>
              </w:rPr>
            </w:r>
            <w:r>
              <w:rPr>
                <w:noProof/>
                <w:webHidden/>
              </w:rPr>
              <w:fldChar w:fldCharType="separate"/>
            </w:r>
            <w:r>
              <w:rPr>
                <w:noProof/>
                <w:webHidden/>
              </w:rPr>
              <w:t>8</w:t>
            </w:r>
            <w:r>
              <w:rPr>
                <w:noProof/>
                <w:webHidden/>
              </w:rPr>
              <w:fldChar w:fldCharType="end"/>
            </w:r>
          </w:hyperlink>
        </w:p>
        <w:p w14:paraId="07F71B6D" w14:textId="3482547C"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8" w:history="1">
            <w:r w:rsidRPr="00A05087">
              <w:rPr>
                <w:rStyle w:val="Hyperlink"/>
                <w:noProof/>
              </w:rPr>
              <w:t>6.2</w:t>
            </w:r>
            <w:r>
              <w:rPr>
                <w:rFonts w:asciiTheme="minorHAnsi" w:eastAsiaTheme="minorEastAsia" w:hAnsiTheme="minorHAnsi"/>
                <w:noProof/>
                <w:kern w:val="2"/>
                <w:sz w:val="24"/>
                <w:szCs w:val="24"/>
                <w:lang w:eastAsia="nl-BE"/>
                <w14:ligatures w14:val="standardContextual"/>
              </w:rPr>
              <w:tab/>
            </w:r>
            <w:r w:rsidRPr="00A05087">
              <w:rPr>
                <w:rStyle w:val="Hyperlink"/>
                <w:noProof/>
              </w:rPr>
              <w:t>Het nieuwe akkoord 2026–2027 en de “maximale tarieven”: een paradox met risico’s</w:t>
            </w:r>
            <w:r>
              <w:rPr>
                <w:noProof/>
                <w:webHidden/>
              </w:rPr>
              <w:tab/>
            </w:r>
            <w:r>
              <w:rPr>
                <w:noProof/>
                <w:webHidden/>
              </w:rPr>
              <w:fldChar w:fldCharType="begin"/>
            </w:r>
            <w:r>
              <w:rPr>
                <w:noProof/>
                <w:webHidden/>
              </w:rPr>
              <w:instrText xml:space="preserve"> PAGEREF _Toc226551738 \h </w:instrText>
            </w:r>
            <w:r>
              <w:rPr>
                <w:noProof/>
                <w:webHidden/>
              </w:rPr>
            </w:r>
            <w:r>
              <w:rPr>
                <w:noProof/>
                <w:webHidden/>
              </w:rPr>
              <w:fldChar w:fldCharType="separate"/>
            </w:r>
            <w:r>
              <w:rPr>
                <w:noProof/>
                <w:webHidden/>
              </w:rPr>
              <w:t>8</w:t>
            </w:r>
            <w:r>
              <w:rPr>
                <w:noProof/>
                <w:webHidden/>
              </w:rPr>
              <w:fldChar w:fldCharType="end"/>
            </w:r>
          </w:hyperlink>
        </w:p>
        <w:p w14:paraId="2DE3D946" w14:textId="3CAAB2A1" w:rsidR="00AA1C39" w:rsidRDefault="00AA1C39">
          <w:pPr>
            <w:pStyle w:val="TOC2"/>
            <w:tabs>
              <w:tab w:val="left" w:pos="960"/>
              <w:tab w:val="right" w:leader="dot" w:pos="9016"/>
            </w:tabs>
            <w:rPr>
              <w:rFonts w:asciiTheme="minorHAnsi" w:eastAsiaTheme="minorEastAsia" w:hAnsiTheme="minorHAnsi"/>
              <w:noProof/>
              <w:kern w:val="2"/>
              <w:sz w:val="24"/>
              <w:szCs w:val="24"/>
              <w:lang w:eastAsia="nl-BE"/>
              <w14:ligatures w14:val="standardContextual"/>
            </w:rPr>
          </w:pPr>
          <w:hyperlink w:anchor="_Toc226551739" w:history="1">
            <w:r w:rsidRPr="00A05087">
              <w:rPr>
                <w:rStyle w:val="Hyperlink"/>
                <w:noProof/>
              </w:rPr>
              <w:t>6.3</w:t>
            </w:r>
            <w:r>
              <w:rPr>
                <w:rFonts w:asciiTheme="minorHAnsi" w:eastAsiaTheme="minorEastAsia" w:hAnsiTheme="minorHAnsi"/>
                <w:noProof/>
                <w:kern w:val="2"/>
                <w:sz w:val="24"/>
                <w:szCs w:val="24"/>
                <w:lang w:eastAsia="nl-BE"/>
                <w14:ligatures w14:val="standardContextual"/>
              </w:rPr>
              <w:tab/>
            </w:r>
            <w:r w:rsidRPr="00A05087">
              <w:rPr>
                <w:rStyle w:val="Hyperlink"/>
                <w:noProof/>
              </w:rPr>
              <w:t>Aanbevelingen</w:t>
            </w:r>
            <w:r>
              <w:rPr>
                <w:noProof/>
                <w:webHidden/>
              </w:rPr>
              <w:tab/>
            </w:r>
            <w:r>
              <w:rPr>
                <w:noProof/>
                <w:webHidden/>
              </w:rPr>
              <w:fldChar w:fldCharType="begin"/>
            </w:r>
            <w:r>
              <w:rPr>
                <w:noProof/>
                <w:webHidden/>
              </w:rPr>
              <w:instrText xml:space="preserve"> PAGEREF _Toc226551739 \h </w:instrText>
            </w:r>
            <w:r>
              <w:rPr>
                <w:noProof/>
                <w:webHidden/>
              </w:rPr>
            </w:r>
            <w:r>
              <w:rPr>
                <w:noProof/>
                <w:webHidden/>
              </w:rPr>
              <w:fldChar w:fldCharType="separate"/>
            </w:r>
            <w:r>
              <w:rPr>
                <w:noProof/>
                <w:webHidden/>
              </w:rPr>
              <w:t>9</w:t>
            </w:r>
            <w:r>
              <w:rPr>
                <w:noProof/>
                <w:webHidden/>
              </w:rPr>
              <w:fldChar w:fldCharType="end"/>
            </w:r>
          </w:hyperlink>
        </w:p>
        <w:p w14:paraId="3D933D6D" w14:textId="19132082" w:rsidR="006324E9" w:rsidRDefault="006324E9" w:rsidP="003C4E91">
          <w:pPr>
            <w:jc w:val="both"/>
          </w:pPr>
          <w:r w:rsidRPr="35F19B17">
            <w:rPr>
              <w:b/>
              <w:bCs/>
              <w:lang w:val="nl-NL"/>
            </w:rPr>
            <w:fldChar w:fldCharType="end"/>
          </w:r>
        </w:p>
      </w:sdtContent>
    </w:sdt>
    <w:p w14:paraId="54A84268" w14:textId="77777777" w:rsidR="006324E9" w:rsidRDefault="006324E9" w:rsidP="003C4E91">
      <w:pPr>
        <w:jc w:val="both"/>
      </w:pPr>
      <w:r>
        <w:br w:type="page"/>
      </w:r>
    </w:p>
    <w:p w14:paraId="56087861" w14:textId="3AE7B44E" w:rsidR="002D0DC4" w:rsidRDefault="00137F7B" w:rsidP="003C4E91">
      <w:pPr>
        <w:pStyle w:val="Heading1"/>
        <w:jc w:val="both"/>
      </w:pPr>
      <w:bookmarkStart w:id="0" w:name="_Toc226551722"/>
      <w:r>
        <w:lastRenderedPageBreak/>
        <w:t>Samenvatting</w:t>
      </w:r>
      <w:bookmarkEnd w:id="0"/>
    </w:p>
    <w:p w14:paraId="307891F2" w14:textId="77777777" w:rsidR="00137F7B" w:rsidRPr="00137F7B" w:rsidRDefault="00137F7B" w:rsidP="003C4E91">
      <w:pPr>
        <w:jc w:val="both"/>
      </w:pPr>
    </w:p>
    <w:p w14:paraId="771BE471" w14:textId="4B6255C5" w:rsidR="00137F7B" w:rsidRPr="003C4E91" w:rsidRDefault="00137F7B" w:rsidP="003C4E91">
      <w:pPr>
        <w:pStyle w:val="NoSpacing"/>
        <w:jc w:val="both"/>
        <w:rPr>
          <w:sz w:val="20"/>
          <w:szCs w:val="20"/>
        </w:rPr>
      </w:pPr>
      <w:r w:rsidRPr="003C4E91">
        <w:rPr>
          <w:sz w:val="20"/>
          <w:szCs w:val="20"/>
        </w:rPr>
        <w:t>Orthodontische zorg is in Vlaanderen de voorbije tien jaar toegankelijker geworden in termen van “contact” met de zorg, maar de effectieve instap in een regulier traject én de betaalbaarheid blijven duidelijk sociaal ongelijk verdeeld. De zeer hoge niet</w:t>
      </w:r>
      <w:r w:rsidR="0A70A192" w:rsidRPr="003C4E91">
        <w:rPr>
          <w:sz w:val="20"/>
          <w:szCs w:val="20"/>
        </w:rPr>
        <w:t xml:space="preserve"> </w:t>
      </w:r>
      <w:r w:rsidRPr="004927C4">
        <w:rPr>
          <w:rFonts w:cstheme="minorHAnsi"/>
          <w:i/>
          <w:iCs/>
          <w:sz w:val="20"/>
          <w:szCs w:val="20"/>
        </w:rPr>
        <w:noBreakHyphen/>
      </w:r>
      <w:r w:rsidRPr="003C4E91">
        <w:rPr>
          <w:sz w:val="20"/>
          <w:szCs w:val="20"/>
        </w:rPr>
        <w:t xml:space="preserve">conventioneringsgraad en de wijdverspreide ereloonsupplementen maken dat de reële patiëntkost vaak meerdere keren hoger ligt dan het wettelijk tarief, met risico op zorguitstel en zorgverzuim, vooral bij kwetsbare gezinnen. </w:t>
      </w:r>
    </w:p>
    <w:p w14:paraId="0417B7F1" w14:textId="77777777" w:rsidR="00137F7B" w:rsidRPr="003C4E91" w:rsidRDefault="00137F7B" w:rsidP="003C4E91">
      <w:pPr>
        <w:pStyle w:val="NoSpacing"/>
        <w:jc w:val="both"/>
        <w:rPr>
          <w:sz w:val="20"/>
          <w:szCs w:val="20"/>
        </w:rPr>
      </w:pPr>
    </w:p>
    <w:p w14:paraId="1CF859D1" w14:textId="4ADE5A6F" w:rsidR="00137F7B" w:rsidRPr="003C4E91" w:rsidRDefault="00137F7B" w:rsidP="003C4E91">
      <w:pPr>
        <w:pStyle w:val="NoSpacing"/>
        <w:jc w:val="both"/>
        <w:rPr>
          <w:sz w:val="20"/>
          <w:szCs w:val="20"/>
        </w:rPr>
      </w:pPr>
      <w:r w:rsidRPr="003C4E91">
        <w:rPr>
          <w:sz w:val="20"/>
          <w:szCs w:val="20"/>
        </w:rPr>
        <w:t xml:space="preserve">Er is een lopende hervorming van de orthodontische nomenclatuur (beoogde start 1 januari 2027) die zowel modernisering als objectivering van reële kosten wil realiseren. Tegelijk voert het nationaal dentomut akkoord 2026–2027 “maximale tarieven” in (toegelaten supplementen) die kunnen gelden voor zowel </w:t>
      </w:r>
      <w:proofErr w:type="spellStart"/>
      <w:r w:rsidRPr="003C4E91">
        <w:rPr>
          <w:sz w:val="20"/>
          <w:szCs w:val="20"/>
        </w:rPr>
        <w:t>geconventioneerde</w:t>
      </w:r>
      <w:proofErr w:type="spellEnd"/>
      <w:r w:rsidRPr="003C4E91">
        <w:rPr>
          <w:sz w:val="20"/>
          <w:szCs w:val="20"/>
        </w:rPr>
        <w:t xml:space="preserve"> als niet</w:t>
      </w:r>
      <w:r w:rsidR="2578255A" w:rsidRPr="003C4E91">
        <w:rPr>
          <w:sz w:val="20"/>
          <w:szCs w:val="20"/>
        </w:rPr>
        <w:t>-</w:t>
      </w:r>
      <w:proofErr w:type="spellStart"/>
      <w:r w:rsidRPr="003C4E91">
        <w:rPr>
          <w:sz w:val="20"/>
          <w:szCs w:val="20"/>
        </w:rPr>
        <w:t>geconventioneerde</w:t>
      </w:r>
      <w:proofErr w:type="spellEnd"/>
      <w:r w:rsidRPr="003C4E91">
        <w:rPr>
          <w:sz w:val="20"/>
          <w:szCs w:val="20"/>
        </w:rPr>
        <w:t xml:space="preserve"> zorgverleners en voor alle patiënten, wat de betaalbaarheid extra onder druk kan zetten. </w:t>
      </w:r>
    </w:p>
    <w:p w14:paraId="55477E08" w14:textId="77777777" w:rsidR="00137F7B" w:rsidRDefault="00137F7B" w:rsidP="003C4E91">
      <w:pPr>
        <w:jc w:val="both"/>
      </w:pPr>
    </w:p>
    <w:p w14:paraId="32BADBF6" w14:textId="79A75BF8" w:rsidR="00137F7B" w:rsidRPr="00137F7B" w:rsidRDefault="00137F7B" w:rsidP="003C4E91">
      <w:pPr>
        <w:pStyle w:val="Heading2"/>
        <w:ind w:left="578" w:hanging="578"/>
        <w:jc w:val="both"/>
        <w:rPr>
          <w:i/>
          <w:iCs/>
        </w:rPr>
      </w:pPr>
      <w:bookmarkStart w:id="1" w:name="_Toc226551723"/>
      <w:r w:rsidRPr="35F19B17">
        <w:rPr>
          <w:i/>
          <w:iCs/>
        </w:rPr>
        <w:t>Wat de cijfers tonen (Vlaanderen)</w:t>
      </w:r>
      <w:bookmarkEnd w:id="1"/>
    </w:p>
    <w:p w14:paraId="0B70E865" w14:textId="7C2F3393" w:rsidR="00137F7B" w:rsidRPr="004927C4" w:rsidRDefault="003240D6" w:rsidP="003C4E91">
      <w:pPr>
        <w:pStyle w:val="NoSpacing"/>
        <w:jc w:val="both"/>
        <w:rPr>
          <w:i/>
          <w:iCs/>
          <w:sz w:val="20"/>
          <w:szCs w:val="20"/>
        </w:rPr>
      </w:pPr>
      <w:r w:rsidRPr="35F19B17">
        <w:rPr>
          <w:i/>
          <w:iCs/>
          <w:sz w:val="20"/>
          <w:szCs w:val="20"/>
        </w:rPr>
        <w:t>De z</w:t>
      </w:r>
      <w:r w:rsidR="00137F7B" w:rsidRPr="35F19B17">
        <w:rPr>
          <w:i/>
          <w:iCs/>
          <w:sz w:val="20"/>
          <w:szCs w:val="20"/>
        </w:rPr>
        <w:t xml:space="preserve">orgopname stijgt, maar </w:t>
      </w:r>
      <w:r w:rsidRPr="35F19B17">
        <w:rPr>
          <w:i/>
          <w:iCs/>
          <w:sz w:val="20"/>
          <w:szCs w:val="20"/>
        </w:rPr>
        <w:t xml:space="preserve">de </w:t>
      </w:r>
      <w:r w:rsidR="00137F7B" w:rsidRPr="35F19B17">
        <w:rPr>
          <w:i/>
          <w:iCs/>
          <w:sz w:val="20"/>
          <w:szCs w:val="20"/>
        </w:rPr>
        <w:t>instap blijft beperkt</w:t>
      </w:r>
      <w:r w:rsidRPr="35F19B17">
        <w:rPr>
          <w:i/>
          <w:iCs/>
          <w:sz w:val="20"/>
          <w:szCs w:val="20"/>
        </w:rPr>
        <w:t>.</w:t>
      </w:r>
    </w:p>
    <w:p w14:paraId="4710A50E" w14:textId="77777777" w:rsidR="00B83C5F" w:rsidRDefault="00137F7B" w:rsidP="003C4E91">
      <w:pPr>
        <w:pStyle w:val="NoSpacing"/>
        <w:jc w:val="both"/>
        <w:rPr>
          <w:i/>
          <w:iCs/>
          <w:sz w:val="20"/>
          <w:szCs w:val="20"/>
        </w:rPr>
      </w:pPr>
      <w:r w:rsidRPr="35F19B17">
        <w:rPr>
          <w:i/>
          <w:iCs/>
          <w:sz w:val="20"/>
          <w:szCs w:val="20"/>
        </w:rPr>
        <w:t>Tussen 2014 en 2024 steeg het aandeel 9–16jarigen met orthodontisch contact van 25% naar 31%</w:t>
      </w:r>
    </w:p>
    <w:p w14:paraId="05901A46" w14:textId="4F404324" w:rsidR="00137F7B" w:rsidRDefault="00137F7B" w:rsidP="004C767C">
      <w:pPr>
        <w:pStyle w:val="NoSpacing"/>
        <w:rPr>
          <w:i/>
          <w:iCs/>
          <w:sz w:val="20"/>
          <w:szCs w:val="20"/>
        </w:rPr>
      </w:pPr>
      <w:r w:rsidRPr="35F19B17">
        <w:rPr>
          <w:i/>
          <w:iCs/>
          <w:sz w:val="20"/>
          <w:szCs w:val="20"/>
        </w:rPr>
        <w:t>(</w:t>
      </w:r>
      <w:proofErr w:type="gramStart"/>
      <w:r w:rsidRPr="35F19B17">
        <w:rPr>
          <w:i/>
          <w:iCs/>
          <w:sz w:val="20"/>
          <w:szCs w:val="20"/>
        </w:rPr>
        <w:t>van</w:t>
      </w:r>
      <w:proofErr w:type="gramEnd"/>
      <w:r w:rsidRPr="35F19B17">
        <w:rPr>
          <w:i/>
          <w:iCs/>
          <w:sz w:val="20"/>
          <w:szCs w:val="20"/>
        </w:rPr>
        <w:t xml:space="preserve"> “1 op 4” naar “bijna 1 op 3”).</w:t>
      </w:r>
      <w:r>
        <w:br/>
      </w:r>
      <w:r w:rsidRPr="35F19B17">
        <w:rPr>
          <w:i/>
          <w:iCs/>
          <w:sz w:val="20"/>
          <w:szCs w:val="20"/>
        </w:rPr>
        <w:t>De effectieve start van een regulier traject via toestelplaatsing (volledig orthodontisch traject)</w:t>
      </w:r>
      <w:r w:rsidR="35CBDC21" w:rsidRPr="35F19B17">
        <w:rPr>
          <w:i/>
          <w:iCs/>
          <w:sz w:val="20"/>
          <w:szCs w:val="20"/>
        </w:rPr>
        <w:t xml:space="preserve"> </w:t>
      </w:r>
      <w:r w:rsidRPr="35F19B17">
        <w:rPr>
          <w:i/>
          <w:iCs/>
          <w:sz w:val="20"/>
          <w:szCs w:val="20"/>
        </w:rPr>
        <w:t xml:space="preserve">steeg slechts licht tot </w:t>
      </w:r>
      <w:r w:rsidRPr="35F19B17">
        <w:rPr>
          <w:b/>
          <w:bCs/>
          <w:i/>
          <w:iCs/>
          <w:sz w:val="20"/>
          <w:szCs w:val="20"/>
        </w:rPr>
        <w:t>6%</w:t>
      </w:r>
      <w:r w:rsidR="2A661599" w:rsidRPr="35F19B17">
        <w:rPr>
          <w:b/>
          <w:bCs/>
          <w:i/>
          <w:iCs/>
          <w:sz w:val="20"/>
          <w:szCs w:val="20"/>
        </w:rPr>
        <w:t xml:space="preserve"> </w:t>
      </w:r>
      <w:r w:rsidRPr="35F19B17">
        <w:rPr>
          <w:b/>
          <w:bCs/>
          <w:i/>
          <w:iCs/>
          <w:sz w:val="20"/>
          <w:szCs w:val="20"/>
        </w:rPr>
        <w:t>(</w:t>
      </w:r>
      <w:r w:rsidRPr="35F19B17">
        <w:rPr>
          <w:i/>
          <w:iCs/>
          <w:sz w:val="20"/>
          <w:szCs w:val="20"/>
        </w:rPr>
        <w:t>van de 9-16</w:t>
      </w:r>
      <w:r w:rsidR="488C39F7" w:rsidRPr="35F19B17">
        <w:rPr>
          <w:i/>
          <w:iCs/>
          <w:sz w:val="20"/>
          <w:szCs w:val="20"/>
        </w:rPr>
        <w:t>-</w:t>
      </w:r>
      <w:r w:rsidRPr="35F19B17">
        <w:rPr>
          <w:i/>
          <w:iCs/>
          <w:sz w:val="20"/>
          <w:szCs w:val="20"/>
        </w:rPr>
        <w:t>jarigen</w:t>
      </w:r>
      <w:r w:rsidRPr="35F19B17">
        <w:rPr>
          <w:b/>
          <w:bCs/>
          <w:i/>
          <w:iCs/>
          <w:sz w:val="20"/>
          <w:szCs w:val="20"/>
        </w:rPr>
        <w:t>)</w:t>
      </w:r>
      <w:r w:rsidRPr="35F19B17">
        <w:rPr>
          <w:i/>
          <w:iCs/>
          <w:sz w:val="20"/>
          <w:szCs w:val="20"/>
        </w:rPr>
        <w:t xml:space="preserve"> in 2024. </w:t>
      </w:r>
    </w:p>
    <w:p w14:paraId="044CB006" w14:textId="77777777" w:rsidR="00137F7B" w:rsidRDefault="00137F7B" w:rsidP="003C4E91">
      <w:pPr>
        <w:pStyle w:val="NoSpacing"/>
        <w:jc w:val="both"/>
        <w:rPr>
          <w:i/>
          <w:iCs/>
          <w:sz w:val="20"/>
          <w:szCs w:val="20"/>
        </w:rPr>
      </w:pPr>
    </w:p>
    <w:p w14:paraId="0D097953" w14:textId="4CCCDF19" w:rsidR="00137F7B" w:rsidRPr="00137F7B" w:rsidRDefault="00137F7B" w:rsidP="003C4E91">
      <w:pPr>
        <w:pStyle w:val="Heading2"/>
        <w:ind w:left="578" w:hanging="578"/>
        <w:jc w:val="both"/>
      </w:pPr>
      <w:bookmarkStart w:id="2" w:name="_Toc226551724"/>
      <w:r>
        <w:t>Sterke sociale gradiënt in toegang (2024)</w:t>
      </w:r>
      <w:bookmarkEnd w:id="2"/>
    </w:p>
    <w:p w14:paraId="31547D9E" w14:textId="23728B81" w:rsidR="00137F7B" w:rsidRPr="00EB0416" w:rsidRDefault="10510CB3" w:rsidP="004C767C">
      <w:pPr>
        <w:pStyle w:val="NoSpacing"/>
        <w:rPr>
          <w:i/>
          <w:iCs/>
          <w:sz w:val="20"/>
          <w:szCs w:val="20"/>
        </w:rPr>
      </w:pPr>
      <w:r w:rsidRPr="003C4E91">
        <w:rPr>
          <w:sz w:val="20"/>
          <w:szCs w:val="20"/>
        </w:rPr>
        <w:t>Kinderen zonder verhoogde tegemoetkoming (</w:t>
      </w:r>
      <w:r w:rsidR="00137F7B" w:rsidRPr="003C4E91">
        <w:rPr>
          <w:sz w:val="20"/>
          <w:szCs w:val="20"/>
        </w:rPr>
        <w:t>Niet</w:t>
      </w:r>
      <w:r w:rsidR="1C81DC76" w:rsidRPr="003C4E91">
        <w:rPr>
          <w:sz w:val="20"/>
          <w:szCs w:val="20"/>
        </w:rPr>
        <w:t>-</w:t>
      </w:r>
      <w:r w:rsidR="00137F7B" w:rsidRPr="003C4E91">
        <w:rPr>
          <w:sz w:val="20"/>
          <w:szCs w:val="20"/>
        </w:rPr>
        <w:t>VT</w:t>
      </w:r>
      <w:r w:rsidR="77BB8918" w:rsidRPr="003C4E91">
        <w:rPr>
          <w:sz w:val="20"/>
          <w:szCs w:val="20"/>
        </w:rPr>
        <w:t>-</w:t>
      </w:r>
      <w:r w:rsidR="00137F7B" w:rsidRPr="003C4E91">
        <w:rPr>
          <w:sz w:val="20"/>
          <w:szCs w:val="20"/>
        </w:rPr>
        <w:t>kinderen</w:t>
      </w:r>
      <w:r w:rsidR="60D99F75" w:rsidRPr="003C4E91">
        <w:rPr>
          <w:sz w:val="20"/>
          <w:szCs w:val="20"/>
        </w:rPr>
        <w:t>)</w:t>
      </w:r>
      <w:r w:rsidR="00137F7B" w:rsidRPr="003C4E91">
        <w:rPr>
          <w:sz w:val="20"/>
          <w:szCs w:val="20"/>
        </w:rPr>
        <w:t xml:space="preserve"> hebben vaker orthodontisch contact dan </w:t>
      </w:r>
      <w:r w:rsidR="094ED507" w:rsidRPr="003C4E91">
        <w:rPr>
          <w:sz w:val="20"/>
          <w:szCs w:val="20"/>
        </w:rPr>
        <w:t>kinderen met verhoogde tegekoming (</w:t>
      </w:r>
      <w:r w:rsidR="00137F7B" w:rsidRPr="003C4E91">
        <w:rPr>
          <w:sz w:val="20"/>
          <w:szCs w:val="20"/>
        </w:rPr>
        <w:t>VT</w:t>
      </w:r>
      <w:r w:rsidR="2930828B" w:rsidRPr="003C4E91">
        <w:rPr>
          <w:sz w:val="20"/>
          <w:szCs w:val="20"/>
        </w:rPr>
        <w:t>-</w:t>
      </w:r>
      <w:r w:rsidR="00137F7B" w:rsidRPr="003C4E91">
        <w:rPr>
          <w:sz w:val="20"/>
          <w:szCs w:val="20"/>
        </w:rPr>
        <w:t>kinderen</w:t>
      </w:r>
      <w:r w:rsidR="5F5215D4" w:rsidRPr="003C4E91">
        <w:rPr>
          <w:sz w:val="20"/>
          <w:szCs w:val="20"/>
        </w:rPr>
        <w:t>)</w:t>
      </w:r>
      <w:r w:rsidR="00137F7B" w:rsidRPr="003C4E91">
        <w:rPr>
          <w:sz w:val="20"/>
          <w:szCs w:val="20"/>
        </w:rPr>
        <w:t xml:space="preserve"> (34,3% vs 24,5%).</w:t>
      </w:r>
      <w:r w:rsidR="00137F7B">
        <w:br/>
      </w:r>
      <w:r w:rsidR="00137F7B" w:rsidRPr="003C4E91">
        <w:rPr>
          <w:sz w:val="20"/>
          <w:szCs w:val="20"/>
        </w:rPr>
        <w:t>Ook toestelplaatsing ligt hoger bij niet</w:t>
      </w:r>
      <w:r w:rsidR="401657D5" w:rsidRPr="003C4E91">
        <w:rPr>
          <w:sz w:val="20"/>
          <w:szCs w:val="20"/>
        </w:rPr>
        <w:t>-</w:t>
      </w:r>
      <w:r w:rsidR="00137F7B" w:rsidRPr="003C4E91">
        <w:rPr>
          <w:sz w:val="20"/>
          <w:szCs w:val="20"/>
        </w:rPr>
        <w:t>VT dan bij VT (7.1% vs 4,4%).</w:t>
      </w:r>
      <w:r w:rsidR="00137F7B">
        <w:br/>
      </w:r>
    </w:p>
    <w:p w14:paraId="3F88E26A" w14:textId="46500D2C" w:rsidR="00137F7B" w:rsidRPr="00137F7B" w:rsidRDefault="00137F7B" w:rsidP="003C4E91">
      <w:pPr>
        <w:pStyle w:val="Heading2"/>
        <w:ind w:left="578" w:hanging="578"/>
        <w:jc w:val="both"/>
        <w:rPr>
          <w:i/>
          <w:iCs/>
        </w:rPr>
      </w:pPr>
      <w:bookmarkStart w:id="3" w:name="_Toc226551725"/>
      <w:r w:rsidRPr="35F19B17">
        <w:rPr>
          <w:i/>
          <w:iCs/>
        </w:rPr>
        <w:t>Wat betaalt de patiënt écht?</w:t>
      </w:r>
      <w:bookmarkEnd w:id="3"/>
    </w:p>
    <w:p w14:paraId="0162CBF0" w14:textId="1738E6B1" w:rsidR="00137F7B" w:rsidRPr="003C4E91" w:rsidRDefault="00137F7B" w:rsidP="003C4E91">
      <w:pPr>
        <w:pStyle w:val="NoSpacing"/>
        <w:jc w:val="both"/>
        <w:rPr>
          <w:sz w:val="20"/>
          <w:szCs w:val="20"/>
        </w:rPr>
      </w:pPr>
      <w:r w:rsidRPr="003C4E91">
        <w:rPr>
          <w:sz w:val="20"/>
          <w:szCs w:val="20"/>
        </w:rPr>
        <w:t>Een mediaan regulier traject duurt ongeveer 3 jaar (1.110 dagen vanaf toestelplaatsing).</w:t>
      </w:r>
      <w:r>
        <w:br/>
      </w:r>
      <w:r w:rsidRPr="003C4E91">
        <w:rPr>
          <w:sz w:val="20"/>
          <w:szCs w:val="20"/>
        </w:rPr>
        <w:t xml:space="preserve">Aan wettelijke tarieven bedraagt de theoretische totale kost 1.210 euro; remgeld is 244 euro voor </w:t>
      </w:r>
      <w:r w:rsidR="4B1AEAB5" w:rsidRPr="35F19B17">
        <w:rPr>
          <w:sz w:val="20"/>
          <w:szCs w:val="20"/>
        </w:rPr>
        <w:t>niet-VT</w:t>
      </w:r>
      <w:r w:rsidR="00B83C5F">
        <w:rPr>
          <w:sz w:val="20"/>
          <w:szCs w:val="20"/>
        </w:rPr>
        <w:t>-</w:t>
      </w:r>
      <w:r w:rsidR="11F31551" w:rsidRPr="003C4E91">
        <w:rPr>
          <w:sz w:val="20"/>
          <w:szCs w:val="20"/>
        </w:rPr>
        <w:t xml:space="preserve">patiënten </w:t>
      </w:r>
      <w:r w:rsidRPr="003C4E91">
        <w:rPr>
          <w:sz w:val="20"/>
          <w:szCs w:val="20"/>
        </w:rPr>
        <w:t>en 0 euro voor</w:t>
      </w:r>
      <w:r w:rsidR="21007E56" w:rsidRPr="003C4E91">
        <w:rPr>
          <w:sz w:val="20"/>
          <w:szCs w:val="20"/>
        </w:rPr>
        <w:t xml:space="preserve"> patiënten met</w:t>
      </w:r>
      <w:r w:rsidRPr="003C4E91">
        <w:rPr>
          <w:sz w:val="20"/>
          <w:szCs w:val="20"/>
        </w:rPr>
        <w:t xml:space="preserve"> </w:t>
      </w:r>
      <w:r w:rsidR="1E52912A" w:rsidRPr="003C4E91">
        <w:rPr>
          <w:sz w:val="20"/>
          <w:szCs w:val="20"/>
        </w:rPr>
        <w:t>verhoogde tegemoetkoming (</w:t>
      </w:r>
      <w:r w:rsidRPr="003C4E91">
        <w:rPr>
          <w:sz w:val="20"/>
          <w:szCs w:val="20"/>
        </w:rPr>
        <w:t>VT</w:t>
      </w:r>
      <w:r w:rsidR="174099EE" w:rsidRPr="003C4E91">
        <w:rPr>
          <w:sz w:val="20"/>
          <w:szCs w:val="20"/>
        </w:rPr>
        <w:t>)</w:t>
      </w:r>
      <w:r w:rsidRPr="003C4E91">
        <w:rPr>
          <w:sz w:val="20"/>
          <w:szCs w:val="20"/>
        </w:rPr>
        <w:t>. In realiteit zijn supplementen wijdverspreid.</w:t>
      </w:r>
    </w:p>
    <w:p w14:paraId="463657FB" w14:textId="7CF6D722" w:rsidR="00137F7B" w:rsidRPr="003C4E91" w:rsidRDefault="00137F7B" w:rsidP="003C4E91">
      <w:pPr>
        <w:pStyle w:val="NoSpacing"/>
        <w:jc w:val="both"/>
        <w:rPr>
          <w:sz w:val="20"/>
          <w:szCs w:val="20"/>
        </w:rPr>
      </w:pPr>
      <w:r w:rsidRPr="003C4E91">
        <w:rPr>
          <w:sz w:val="20"/>
          <w:szCs w:val="20"/>
        </w:rPr>
        <w:t>De berekende mediane totale patiëntkost (</w:t>
      </w:r>
      <w:r w:rsidR="004C767C">
        <w:rPr>
          <w:sz w:val="20"/>
          <w:szCs w:val="20"/>
        </w:rPr>
        <w:t>supplementen én</w:t>
      </w:r>
      <w:r w:rsidRPr="003C4E91">
        <w:rPr>
          <w:sz w:val="20"/>
          <w:szCs w:val="20"/>
        </w:rPr>
        <w:t xml:space="preserve"> remgeld voor niet</w:t>
      </w:r>
      <w:r w:rsidR="58206D8C" w:rsidRPr="003C4E91">
        <w:rPr>
          <w:sz w:val="20"/>
          <w:szCs w:val="20"/>
        </w:rPr>
        <w:t>-</w:t>
      </w:r>
      <w:r w:rsidRPr="003C4E91">
        <w:rPr>
          <w:sz w:val="20"/>
          <w:szCs w:val="20"/>
        </w:rPr>
        <w:t>VT) komt uit op ongeveer 2.095 euro (niet</w:t>
      </w:r>
      <w:r w:rsidR="4CEB137F" w:rsidRPr="003C4E91">
        <w:rPr>
          <w:sz w:val="20"/>
          <w:szCs w:val="20"/>
        </w:rPr>
        <w:t>-</w:t>
      </w:r>
      <w:r w:rsidRPr="003C4E91">
        <w:rPr>
          <w:sz w:val="20"/>
          <w:szCs w:val="20"/>
        </w:rPr>
        <w:t>VT) en 1.851 euro (VT), met grote spreiding (P25–P75: 1.370–2.838 euro). Als retentie nodig is (niet in het mediaantraject) kan dit nog +-390 euro extra (niet terugb</w:t>
      </w:r>
      <w:r w:rsidR="00249D24" w:rsidRPr="003C4E91">
        <w:rPr>
          <w:sz w:val="20"/>
          <w:szCs w:val="20"/>
        </w:rPr>
        <w:t>e</w:t>
      </w:r>
      <w:r w:rsidRPr="003C4E91">
        <w:rPr>
          <w:sz w:val="20"/>
          <w:szCs w:val="20"/>
        </w:rPr>
        <w:t xml:space="preserve">taald) betekenen, waardoor de totale </w:t>
      </w:r>
      <w:r w:rsidR="00B83C5F">
        <w:rPr>
          <w:sz w:val="20"/>
          <w:szCs w:val="20"/>
        </w:rPr>
        <w:t xml:space="preserve">mediane </w:t>
      </w:r>
      <w:r w:rsidRPr="003C4E91">
        <w:rPr>
          <w:sz w:val="20"/>
          <w:szCs w:val="20"/>
        </w:rPr>
        <w:t xml:space="preserve">kost kan oplopen tot 2.241 euro (VT) en 2.485 euro (niet-VT). </w:t>
      </w:r>
    </w:p>
    <w:p w14:paraId="2DDA0EF4" w14:textId="77777777" w:rsidR="00137F7B" w:rsidRPr="004927C4" w:rsidRDefault="00137F7B" w:rsidP="003C4E91">
      <w:pPr>
        <w:pStyle w:val="NoSpacing"/>
        <w:jc w:val="both"/>
        <w:rPr>
          <w:i/>
          <w:iCs/>
          <w:sz w:val="20"/>
          <w:szCs w:val="20"/>
        </w:rPr>
      </w:pPr>
    </w:p>
    <w:p w14:paraId="217C729F" w14:textId="24A83474" w:rsidR="00137F7B" w:rsidRPr="00137F7B" w:rsidRDefault="00137F7B" w:rsidP="003C4E91">
      <w:pPr>
        <w:pStyle w:val="Heading2"/>
        <w:ind w:left="578" w:hanging="578"/>
        <w:jc w:val="both"/>
      </w:pPr>
      <w:bookmarkStart w:id="4" w:name="_Toc226551726"/>
      <w:r w:rsidRPr="00137F7B">
        <w:t>Sleutelmechanisme achter de hoge kosten: niet</w:t>
      </w:r>
      <w:r w:rsidR="1FC7FE96" w:rsidRPr="00137F7B">
        <w:t>-</w:t>
      </w:r>
      <w:proofErr w:type="spellStart"/>
      <w:r w:rsidRPr="00137F7B">
        <w:t>conventionering</w:t>
      </w:r>
      <w:bookmarkEnd w:id="4"/>
      <w:proofErr w:type="spellEnd"/>
    </w:p>
    <w:p w14:paraId="1D52B6AE" w14:textId="61E8145E" w:rsidR="00137F7B" w:rsidRPr="003C4E91" w:rsidRDefault="00137F7B" w:rsidP="004C767C">
      <w:pPr>
        <w:pStyle w:val="NoSpacing"/>
        <w:rPr>
          <w:sz w:val="20"/>
          <w:szCs w:val="20"/>
        </w:rPr>
      </w:pPr>
      <w:r w:rsidRPr="003C4E91">
        <w:rPr>
          <w:sz w:val="20"/>
          <w:szCs w:val="20"/>
        </w:rPr>
        <w:t>De studie stelt dat 99% van de orthodontisten buiten conventie werkt, waardoor tarieven vrij worden bepaald en supplementen structureel ingebed raken.</w:t>
      </w:r>
      <w:r w:rsidRPr="004C767C">
        <w:rPr>
          <w:sz w:val="20"/>
          <w:szCs w:val="20"/>
        </w:rPr>
        <w:br/>
      </w:r>
      <w:r w:rsidRPr="003C4E91">
        <w:rPr>
          <w:sz w:val="20"/>
          <w:szCs w:val="20"/>
        </w:rPr>
        <w:t>VT</w:t>
      </w:r>
      <w:r w:rsidR="392B2190" w:rsidRPr="003C4E91">
        <w:rPr>
          <w:sz w:val="20"/>
          <w:szCs w:val="20"/>
        </w:rPr>
        <w:t>-</w:t>
      </w:r>
      <w:r w:rsidRPr="003C4E91">
        <w:rPr>
          <w:sz w:val="20"/>
          <w:szCs w:val="20"/>
        </w:rPr>
        <w:t>patiënten doen relatief vaker beroep op geconventioneerde zorgverleners dan niet</w:t>
      </w:r>
      <w:r w:rsidR="088C2445" w:rsidRPr="003C4E91">
        <w:rPr>
          <w:sz w:val="20"/>
          <w:szCs w:val="20"/>
        </w:rPr>
        <w:t>-</w:t>
      </w:r>
      <w:r w:rsidRPr="003C4E91">
        <w:rPr>
          <w:sz w:val="20"/>
          <w:szCs w:val="20"/>
        </w:rPr>
        <w:t>VT (5,2% v</w:t>
      </w:r>
      <w:r w:rsidR="00B83C5F">
        <w:rPr>
          <w:sz w:val="20"/>
          <w:szCs w:val="20"/>
        </w:rPr>
        <w:t>ersu</w:t>
      </w:r>
      <w:r w:rsidRPr="003C4E91">
        <w:rPr>
          <w:sz w:val="20"/>
          <w:szCs w:val="20"/>
        </w:rPr>
        <w:t>s 1,7%)</w:t>
      </w:r>
      <w:r w:rsidR="3BE21365" w:rsidRPr="003C4E91">
        <w:rPr>
          <w:sz w:val="20"/>
          <w:szCs w:val="20"/>
        </w:rPr>
        <w:t>.</w:t>
      </w:r>
      <w:r w:rsidRPr="003C4E91">
        <w:rPr>
          <w:sz w:val="20"/>
          <w:szCs w:val="20"/>
        </w:rPr>
        <w:t xml:space="preserve"> </w:t>
      </w:r>
    </w:p>
    <w:p w14:paraId="0936E07F" w14:textId="77777777" w:rsidR="00137F7B" w:rsidRPr="004927C4" w:rsidRDefault="00137F7B" w:rsidP="003C4E91">
      <w:pPr>
        <w:pStyle w:val="NoSpacing"/>
        <w:jc w:val="both"/>
        <w:rPr>
          <w:i/>
          <w:iCs/>
          <w:sz w:val="20"/>
          <w:szCs w:val="20"/>
        </w:rPr>
      </w:pPr>
    </w:p>
    <w:p w14:paraId="194F0CDB" w14:textId="15CB6EC3" w:rsidR="00137F7B" w:rsidRPr="00137F7B" w:rsidRDefault="00137F7B" w:rsidP="003C4E91">
      <w:pPr>
        <w:pStyle w:val="Heading2"/>
        <w:ind w:left="578" w:hanging="578"/>
        <w:jc w:val="both"/>
        <w:rPr>
          <w:i/>
          <w:iCs/>
        </w:rPr>
      </w:pPr>
      <w:bookmarkStart w:id="5" w:name="_Toc226551727"/>
      <w:r w:rsidRPr="35F19B17">
        <w:rPr>
          <w:i/>
          <w:iCs/>
        </w:rPr>
        <w:t>Beleidsrisico’s in het akkoord 2026–2027: “maximale tarieven”</w:t>
      </w:r>
      <w:bookmarkEnd w:id="5"/>
    </w:p>
    <w:p w14:paraId="08ACE130" w14:textId="6941A865" w:rsidR="00137F7B" w:rsidRPr="003C4E91" w:rsidRDefault="00137F7B" w:rsidP="004C767C">
      <w:pPr>
        <w:pStyle w:val="NoSpacing"/>
        <w:rPr>
          <w:sz w:val="20"/>
          <w:szCs w:val="20"/>
        </w:rPr>
      </w:pPr>
      <w:r w:rsidRPr="003C4E91">
        <w:rPr>
          <w:sz w:val="20"/>
          <w:szCs w:val="20"/>
        </w:rPr>
        <w:t>De invoering van maximale tarieven creëert volgens de studie een paradox: er is een verbod op supplementen voor VT</w:t>
      </w:r>
      <w:r w:rsidR="286AC6C0" w:rsidRPr="003C4E91">
        <w:rPr>
          <w:sz w:val="20"/>
          <w:szCs w:val="20"/>
        </w:rPr>
        <w:t>-</w:t>
      </w:r>
      <w:r w:rsidRPr="003C4E91">
        <w:rPr>
          <w:sz w:val="20"/>
          <w:szCs w:val="20"/>
        </w:rPr>
        <w:t>patiënten vanaf 1 juli 2026, maar tegelijk blijven “maximale tarieven” in orthodontie mogelijk.</w:t>
      </w:r>
      <w:r>
        <w:br/>
      </w:r>
      <w:r w:rsidRPr="003C4E91">
        <w:rPr>
          <w:sz w:val="20"/>
          <w:szCs w:val="20"/>
        </w:rPr>
        <w:t xml:space="preserve">De studie benadrukt bovendien dat deze maximale tarieven niet in de </w:t>
      </w:r>
      <w:r w:rsidR="0F70C0E4" w:rsidRPr="003C4E91">
        <w:rPr>
          <w:sz w:val="20"/>
          <w:szCs w:val="20"/>
        </w:rPr>
        <w:t>maxixumfactuur (</w:t>
      </w:r>
      <w:r w:rsidRPr="003C4E91">
        <w:rPr>
          <w:sz w:val="20"/>
          <w:szCs w:val="20"/>
        </w:rPr>
        <w:t>MAF</w:t>
      </w:r>
      <w:r w:rsidR="4AEDBAC4" w:rsidRPr="003C4E91">
        <w:rPr>
          <w:sz w:val="20"/>
          <w:szCs w:val="20"/>
        </w:rPr>
        <w:t>)</w:t>
      </w:r>
      <w:r w:rsidRPr="003C4E91">
        <w:rPr>
          <w:sz w:val="20"/>
          <w:szCs w:val="20"/>
        </w:rPr>
        <w:t xml:space="preserve"> </w:t>
      </w:r>
      <w:r w:rsidRPr="003C4E91">
        <w:rPr>
          <w:sz w:val="20"/>
          <w:szCs w:val="20"/>
        </w:rPr>
        <w:lastRenderedPageBreak/>
        <w:t xml:space="preserve">zouden worden opgenomen, terwijl het KB van 17 maart 2024 net voorziet dat zulke supplementen in de MAF moeten worden geïntegreerd om de impact te begrenzen. </w:t>
      </w:r>
    </w:p>
    <w:p w14:paraId="6D6CC871" w14:textId="77777777" w:rsidR="00137F7B" w:rsidRPr="00EB0416" w:rsidRDefault="00137F7B" w:rsidP="003C4E91">
      <w:pPr>
        <w:pStyle w:val="NoSpacing"/>
        <w:jc w:val="both"/>
        <w:rPr>
          <w:i/>
          <w:iCs/>
          <w:sz w:val="20"/>
          <w:szCs w:val="20"/>
        </w:rPr>
      </w:pPr>
    </w:p>
    <w:p w14:paraId="6B47A7AE" w14:textId="705072DC" w:rsidR="00137F7B" w:rsidRPr="00137F7B" w:rsidRDefault="00137F7B" w:rsidP="003C4E91">
      <w:pPr>
        <w:pStyle w:val="Heading2"/>
        <w:ind w:left="578" w:hanging="578"/>
        <w:jc w:val="both"/>
      </w:pPr>
      <w:bookmarkStart w:id="6" w:name="_Toc226551728"/>
      <w:r>
        <w:t>Wat Solidaris aanbeveelt</w:t>
      </w:r>
      <w:bookmarkEnd w:id="6"/>
      <w:r>
        <w:t xml:space="preserve"> </w:t>
      </w:r>
    </w:p>
    <w:p w14:paraId="7E604941" w14:textId="06A43C65" w:rsidR="00137F7B" w:rsidRPr="003C4E91" w:rsidRDefault="00137F7B" w:rsidP="004C767C">
      <w:pPr>
        <w:pStyle w:val="NoSpacing"/>
        <w:rPr>
          <w:sz w:val="20"/>
          <w:szCs w:val="20"/>
        </w:rPr>
      </w:pPr>
      <w:r w:rsidRPr="003C4E91">
        <w:rPr>
          <w:sz w:val="20"/>
          <w:szCs w:val="20"/>
        </w:rPr>
        <w:t>Solidaris vraagt om ongebruikt tandheelkundig budget (18 miljoen euro) in te zetten voor een hogere terugbetaling van regulier orthodontisch behandelen voor VT</w:t>
      </w:r>
      <w:r w:rsidR="0A69E98C" w:rsidRPr="003C4E91">
        <w:rPr>
          <w:sz w:val="20"/>
          <w:szCs w:val="20"/>
        </w:rPr>
        <w:t>-</w:t>
      </w:r>
      <w:r w:rsidRPr="003C4E91">
        <w:rPr>
          <w:sz w:val="20"/>
          <w:szCs w:val="20"/>
        </w:rPr>
        <w:t>patiënten, om de eigen kost substantieel te verminderen.</w:t>
      </w:r>
      <w:r>
        <w:br/>
      </w:r>
      <w:r w:rsidRPr="003C4E91">
        <w:rPr>
          <w:sz w:val="20"/>
          <w:szCs w:val="20"/>
        </w:rPr>
        <w:t>Daarnaast vraagt Solidaris om de maximale tarieven effectief in de MAF op te nemen en deze maatregel tijdelijk te houden, in afwachting van de nomenclatuurhervorming die reële kosten objectief vastlegt.</w:t>
      </w:r>
      <w:r>
        <w:br/>
      </w:r>
      <w:r w:rsidRPr="003C4E91">
        <w:rPr>
          <w:sz w:val="20"/>
          <w:szCs w:val="20"/>
        </w:rPr>
        <w:t>Voor de hervorming 2027 ondersteunt Solidaris de uitwerking van objectieve medische criteria om bij aantoonbare nood een hogere tussenkomst mogelijk te maken, geïnspireerd door internationale pistes en eerdere KCE</w:t>
      </w:r>
      <w:r w:rsidR="6D12840D" w:rsidRPr="003C4E91">
        <w:rPr>
          <w:sz w:val="20"/>
          <w:szCs w:val="20"/>
        </w:rPr>
        <w:t>-</w:t>
      </w:r>
      <w:r w:rsidRPr="003C4E91">
        <w:rPr>
          <w:sz w:val="20"/>
          <w:szCs w:val="20"/>
        </w:rPr>
        <w:t xml:space="preserve">reflecties. </w:t>
      </w:r>
    </w:p>
    <w:p w14:paraId="5D3A5A2C" w14:textId="69F0C877" w:rsidR="00FF3D4F" w:rsidRPr="00137F7B" w:rsidRDefault="00FF3D4F" w:rsidP="003C4E91">
      <w:pPr>
        <w:jc w:val="both"/>
      </w:pPr>
      <w:r>
        <w:t xml:space="preserve"> </w:t>
      </w:r>
    </w:p>
    <w:p w14:paraId="058AB0DC" w14:textId="77777777" w:rsidR="00137F7B" w:rsidRPr="00137F7B" w:rsidRDefault="00137F7B" w:rsidP="003C4E91">
      <w:pPr>
        <w:jc w:val="both"/>
      </w:pPr>
    </w:p>
    <w:p w14:paraId="0CFD2BC2" w14:textId="77777777" w:rsidR="003240D6" w:rsidRPr="00521AAA" w:rsidRDefault="003240D6" w:rsidP="003C4E91">
      <w:pPr>
        <w:jc w:val="both"/>
        <w:rPr>
          <w:rFonts w:eastAsiaTheme="majorEastAsia" w:cstheme="majorBidi"/>
          <w:color w:val="D90030"/>
          <w:sz w:val="40"/>
          <w:szCs w:val="40"/>
        </w:rPr>
      </w:pPr>
      <w:r>
        <w:br w:type="page"/>
      </w:r>
    </w:p>
    <w:p w14:paraId="4B47A20E" w14:textId="39DA7667" w:rsidR="00137F7B" w:rsidRDefault="00137F7B" w:rsidP="003C4E91">
      <w:pPr>
        <w:pStyle w:val="Heading1"/>
        <w:jc w:val="both"/>
        <w:rPr>
          <w:lang w:val="en-US"/>
        </w:rPr>
      </w:pPr>
      <w:bookmarkStart w:id="7" w:name="_Toc226551729"/>
      <w:r w:rsidRPr="35F19B17">
        <w:rPr>
          <w:lang w:val="en-US"/>
        </w:rPr>
        <w:lastRenderedPageBreak/>
        <w:t>Inleiding en context</w:t>
      </w:r>
      <w:bookmarkEnd w:id="7"/>
    </w:p>
    <w:p w14:paraId="5565A858" w14:textId="77777777" w:rsidR="00137F7B" w:rsidRDefault="00137F7B" w:rsidP="003C4E91">
      <w:pPr>
        <w:jc w:val="both"/>
        <w:rPr>
          <w:lang w:val="en-US"/>
        </w:rPr>
      </w:pPr>
    </w:p>
    <w:p w14:paraId="119A2829" w14:textId="77777777" w:rsidR="00137F7B" w:rsidRPr="00CE6138" w:rsidRDefault="00137F7B" w:rsidP="003C4E91">
      <w:pPr>
        <w:jc w:val="both"/>
      </w:pPr>
      <w:r>
        <w:t xml:space="preserve">In 2019 voerde Solidaris een eerste analyse uit van de kostprijs van een regulier orthodontisch behandeltraject bij kinderen van 10 tot 15 jaar in Wallonië. Die studie toonde aan dat de eigen kost voor patiënten hoog kan oplopen en sterk varieert naargelang van de aangerekende ereloonsupplementen, in een context waarin het overgrote deel van de zorgverleners buiten het conventiekader werkt. </w:t>
      </w:r>
    </w:p>
    <w:p w14:paraId="62037054" w14:textId="77777777" w:rsidR="00137F7B" w:rsidRPr="00CE6138" w:rsidRDefault="00137F7B" w:rsidP="003C4E91">
      <w:pPr>
        <w:jc w:val="both"/>
      </w:pPr>
      <w:r>
        <w:t xml:space="preserve">Deze tariefvariabiliteit vormt een reële drempel om een behandelingstraject volledig af te werken, zeker voor sociaaleconomisch kwetsbare gezinnen. </w:t>
      </w:r>
    </w:p>
    <w:p w14:paraId="38F932A3" w14:textId="77777777" w:rsidR="00137F7B" w:rsidRPr="00CE6138" w:rsidRDefault="00137F7B" w:rsidP="003C4E91">
      <w:pPr>
        <w:jc w:val="both"/>
      </w:pPr>
      <w:r>
        <w:t xml:space="preserve">In die eerdere analyse startte 28% van de kinderen een traject, maar kon ongeveer één op de vijf kinderen die begonnen waren het traject niet effectief verderzetten tot de plaatsing van een toestel. </w:t>
      </w:r>
    </w:p>
    <w:p w14:paraId="4B18752D" w14:textId="0A3ABD96" w:rsidR="00137F7B" w:rsidRPr="00CE6138" w:rsidRDefault="00137F7B" w:rsidP="003C4E91">
      <w:pPr>
        <w:jc w:val="both"/>
      </w:pPr>
      <w:r>
        <w:t>Tegen deze achtergrond lopen vandaag besprekingen over een hervorming van de nomenclatuur orthodontie, met geplande inwerkingtreding op 1 januari 2027. Die hervorming wil de nomenclatuur moderniseren in functie van de huidige praktijk, maar ook de reële kost van orthodontische prestaties beter objectiveren. De bedoeling is tegelijk de structurele onderfinanciering van de sector aan te pakken én de toegankelijkheid tot orthodontische zorg voor de volledige bevolking te garanderen. In het verlengde daarvan werd voor de periode 1 januari 2026 tot 31 december 2027 een nieuw nationaal dento-mutualistisch akkoord afgesloten, waarin onder meer “maximale tarieven” worden ingevoerd. Deze maximale tarieven laten toe dat zowel geconventioneerde als niet</w:t>
      </w:r>
      <w:r w:rsidR="00521AAA">
        <w:t>-</w:t>
      </w:r>
      <w:r>
        <w:t xml:space="preserve">geconventioneerde orthodontisten voor specifieke prestaties in het regulier traject supplementen </w:t>
      </w:r>
      <w:proofErr w:type="gramStart"/>
      <w:r>
        <w:t>bovenop</w:t>
      </w:r>
      <w:proofErr w:type="gramEnd"/>
      <w:r>
        <w:t xml:space="preserve"> het normaal geldende tarief kunnen aanrekenen. De invoering van deze maximumtarieven ten laste van alle patiënten, ongeacht hun statuut (VT en niet-VT), doet vrezen dat de financiële toegankelijkheid verder onder druk komt, ondanks het feit dat het aanrekenen van ereloonsupplementen aan VT</w:t>
      </w:r>
      <w:r w:rsidR="00521AAA">
        <w:t>-</w:t>
      </w:r>
      <w:r>
        <w:t>patiënten verboden wordt vanaf 1 juli 2026.</w:t>
      </w:r>
    </w:p>
    <w:p w14:paraId="556A83ED" w14:textId="77777777" w:rsidR="00137F7B" w:rsidRPr="00137F7B" w:rsidRDefault="00137F7B" w:rsidP="003C4E91">
      <w:pPr>
        <w:jc w:val="both"/>
      </w:pPr>
    </w:p>
    <w:p w14:paraId="73D476FA" w14:textId="33E9A539" w:rsidR="00137F7B" w:rsidRDefault="00137F7B" w:rsidP="003C4E91">
      <w:pPr>
        <w:pStyle w:val="Heading1"/>
        <w:jc w:val="both"/>
      </w:pPr>
      <w:bookmarkStart w:id="8" w:name="_Toc226551730"/>
      <w:r>
        <w:t>Doel en afbakening van de huidige studie</w:t>
      </w:r>
      <w:bookmarkEnd w:id="8"/>
    </w:p>
    <w:p w14:paraId="7B89C773" w14:textId="77777777" w:rsidR="00137F7B" w:rsidRDefault="00137F7B" w:rsidP="003C4E91">
      <w:pPr>
        <w:jc w:val="both"/>
      </w:pPr>
    </w:p>
    <w:p w14:paraId="51C10469" w14:textId="77777777" w:rsidR="00137F7B" w:rsidRPr="00CE6138" w:rsidRDefault="00137F7B" w:rsidP="003C4E91">
      <w:pPr>
        <w:jc w:val="both"/>
      </w:pPr>
      <w:r>
        <w:t xml:space="preserve">Deze studie richt zich, met focus op Vlaanderen, op het regulier orthodontisch traject, met name het klassieke traject met een vast toestel dat wordt opgestart bij kinderen van 9 tot 16 jaar. De analyse heeft als kerndoelen om de evolutie van de zorgopname over de periode 2014–2024 te beschrijven, de sociaaleconomische ongelijkheden in toegang in kaart te brengen voor 2024, de variabiliteit van de behandelingskost te analyseren om de reële patiëntkost te bepalen, en de resultaten te interpreteren in het licht van de nakende nomenclatuurhervorming en het akkoord 2026–2027. Daarnaast wordt op basis van de bevindingen een set aanbevelingen geformuleerd. </w:t>
      </w:r>
    </w:p>
    <w:p w14:paraId="5A7E18AF" w14:textId="77777777" w:rsidR="00137F7B" w:rsidRDefault="00137F7B" w:rsidP="003C4E91">
      <w:pPr>
        <w:pStyle w:val="ListParagraph"/>
        <w:numPr>
          <w:ilvl w:val="0"/>
          <w:numId w:val="0"/>
        </w:numPr>
        <w:ind w:left="1068"/>
        <w:jc w:val="both"/>
        <w:rPr>
          <w:szCs w:val="20"/>
        </w:rPr>
      </w:pPr>
    </w:p>
    <w:p w14:paraId="0F95FFCA" w14:textId="56A9A605" w:rsidR="00137F7B" w:rsidRDefault="00137F7B" w:rsidP="003C4E91">
      <w:pPr>
        <w:pStyle w:val="Heading1"/>
        <w:jc w:val="both"/>
      </w:pPr>
      <w:bookmarkStart w:id="9" w:name="_Toc226551731"/>
      <w:r>
        <w:t>Gegevens en methode</w:t>
      </w:r>
      <w:bookmarkEnd w:id="9"/>
    </w:p>
    <w:p w14:paraId="0D83C81B" w14:textId="77777777" w:rsidR="00137F7B" w:rsidRDefault="00137F7B" w:rsidP="003C4E91">
      <w:pPr>
        <w:jc w:val="both"/>
      </w:pPr>
    </w:p>
    <w:p w14:paraId="19EF1388" w14:textId="77777777" w:rsidR="00137F7B" w:rsidRPr="00CE6138" w:rsidRDefault="00137F7B" w:rsidP="003C4E91">
      <w:pPr>
        <w:jc w:val="both"/>
      </w:pPr>
      <w:r>
        <w:t xml:space="preserve">Om de evolutie van de zorgopname te meten, werd voor elk jaar tussen 2014 en 2024 gekeken naar het aandeel aangesloten leden van 9 tot 16 jaar dat in dat jaar orthodontisch contact had met een tandarts of orthodontist op basis van relevante nomenclatuurcodes, en naar het aandeel dat een traject effectief startte via de plaatsing van een toestel, gemeten met de apparaat forfaits. De gebruikte gegevens zijn terugbetaalde prestaties binnen de verplichte verzekering. </w:t>
      </w:r>
    </w:p>
    <w:p w14:paraId="03CD0F4B" w14:textId="0B83180B" w:rsidR="00137F7B" w:rsidRPr="00CE6138" w:rsidRDefault="00137F7B" w:rsidP="003C4E91">
      <w:pPr>
        <w:jc w:val="both"/>
      </w:pPr>
      <w:r>
        <w:t>Voor de analyse van sociaaleconomische toegankelijkheid in 2024 werd gewerkt met het statuut, met name VT versus niet</w:t>
      </w:r>
      <w:r w:rsidR="7F45565F">
        <w:t>-</w:t>
      </w:r>
      <w:r>
        <w:t xml:space="preserve">VT. </w:t>
      </w:r>
    </w:p>
    <w:p w14:paraId="6CD05D47" w14:textId="03922205" w:rsidR="00137F7B" w:rsidRPr="00CE6138" w:rsidRDefault="00137F7B" w:rsidP="003C4E91">
      <w:pPr>
        <w:jc w:val="both"/>
      </w:pPr>
      <w:r>
        <w:lastRenderedPageBreak/>
        <w:t xml:space="preserve">Om de variabiliteit van de behandelingskost te begrijpen, werd een theoretisch zorgtraject gereconstrueerd op basis </w:t>
      </w:r>
      <w:r w:rsidR="0059788E">
        <w:t xml:space="preserve">van </w:t>
      </w:r>
      <w:r>
        <w:t xml:space="preserve">volledige behandelingen tussen 2014 en 2024, met een initiatiefase, twee apparaat forfaits, minstens twaalf opvolgbezoeken, eventueel een retentieconsultatie, en met opstart vóór 2024. De theoretische totale kost werd berekend door het aantal sequenties te vermenigvuldigen met het wettelijke tarief. Voor de reële kost werd vervolgens gewerkt met facturen uit de facultatieve verzekering (FACV) over 2021–2024, waarmee ereloonsupplementen konden worden geïdentificeerd en een mediane reële kost voor 2024 kon worden bepaald, aangevuld met schattingen via P25 en P75. Tenslotte werd de resterende patiëntkost bepaald door remgeld, supplementen en tussenkomsten van aanvullende en facultatieve verzekering in rekening te brengen, en werd ook de conventiestatus geanalyseerd naar statuut en inkomensniveau. </w:t>
      </w:r>
    </w:p>
    <w:p w14:paraId="3E03BF99" w14:textId="77777777" w:rsidR="00137F7B" w:rsidRPr="00137F7B" w:rsidRDefault="00137F7B" w:rsidP="003C4E91">
      <w:pPr>
        <w:jc w:val="both"/>
      </w:pPr>
    </w:p>
    <w:p w14:paraId="6961593F" w14:textId="1F5B484E" w:rsidR="00137F7B" w:rsidRDefault="00137F7B" w:rsidP="003C4E91">
      <w:pPr>
        <w:pStyle w:val="Heading1"/>
        <w:jc w:val="both"/>
      </w:pPr>
      <w:bookmarkStart w:id="10" w:name="_Toc226551732"/>
      <w:r>
        <w:t>Resultaten</w:t>
      </w:r>
      <w:bookmarkEnd w:id="10"/>
    </w:p>
    <w:p w14:paraId="16DCE7B3" w14:textId="77777777" w:rsidR="00137F7B" w:rsidRDefault="00137F7B" w:rsidP="003C4E91">
      <w:pPr>
        <w:jc w:val="both"/>
      </w:pPr>
    </w:p>
    <w:p w14:paraId="2C00B90E" w14:textId="307579BE" w:rsidR="003240D6" w:rsidRDefault="0DE5409E" w:rsidP="003C4E91">
      <w:pPr>
        <w:pStyle w:val="Heading2"/>
        <w:jc w:val="both"/>
      </w:pPr>
      <w:r>
        <w:t xml:space="preserve"> </w:t>
      </w:r>
      <w:bookmarkStart w:id="11" w:name="_Toc226551733"/>
      <w:r>
        <w:t>E</w:t>
      </w:r>
      <w:r w:rsidR="003240D6">
        <w:t>volutie van zorgopname (2014–2024)</w:t>
      </w:r>
      <w:bookmarkEnd w:id="11"/>
    </w:p>
    <w:p w14:paraId="71F80C3C" w14:textId="32C8193D" w:rsidR="00137F7B" w:rsidRDefault="00137F7B" w:rsidP="003C4E91">
      <w:pPr>
        <w:jc w:val="both"/>
      </w:pPr>
      <w:r>
        <w:t xml:space="preserve">Over de periode 2014–2024 steeg in Vlaanderen het aandeel kinderen van 9 tot en met 16 jaar dat een orthodontisch contact had van ongeveer één op vier naar bijna één op drie, met een stijging van </w:t>
      </w:r>
      <w:proofErr w:type="gramStart"/>
      <w:r>
        <w:t>circa</w:t>
      </w:r>
      <w:proofErr w:type="gramEnd"/>
      <w:r>
        <w:t xml:space="preserve"> 25% in 2014 naar ongeveer 31% in 2024. In dezelfde periode steeg het aandeel kinderen dat een behandeling effectief startte via toestelplaatsing van 5,4% in 2014 naar 6,3% in 2024, waarbij de evolutie in contact en toestelplaatsing een gelijkaardige trend vertoont. </w:t>
      </w:r>
    </w:p>
    <w:p w14:paraId="4FFA6941" w14:textId="5FC4260A" w:rsidR="35F19B17" w:rsidRDefault="35F19B17" w:rsidP="003C4E91">
      <w:pPr>
        <w:jc w:val="both"/>
      </w:pPr>
    </w:p>
    <w:p w14:paraId="53FA4744" w14:textId="29F4E747" w:rsidR="00137F7B" w:rsidRPr="00CE6138" w:rsidRDefault="00137F7B" w:rsidP="003C4E91">
      <w:pPr>
        <w:jc w:val="both"/>
      </w:pPr>
      <w:r w:rsidRPr="00CE6138">
        <w:rPr>
          <w:noProof/>
        </w:rPr>
        <w:drawing>
          <wp:anchor distT="0" distB="0" distL="114300" distR="114300" simplePos="0" relativeHeight="251666432" behindDoc="0" locked="0" layoutInCell="1" allowOverlap="1" wp14:anchorId="4B630209" wp14:editId="500C29E5">
            <wp:simplePos x="0" y="0"/>
            <wp:positionH relativeFrom="column">
              <wp:posOffset>-136525</wp:posOffset>
            </wp:positionH>
            <wp:positionV relativeFrom="paragraph">
              <wp:posOffset>10160</wp:posOffset>
            </wp:positionV>
            <wp:extent cx="5393471" cy="3526137"/>
            <wp:effectExtent l="0" t="0" r="0" b="0"/>
            <wp:wrapSquare wrapText="bothSides"/>
            <wp:docPr id="1872581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93471" cy="3526137"/>
                    </a:xfrm>
                    <a:prstGeom prst="rect">
                      <a:avLst/>
                    </a:prstGeom>
                    <a:noFill/>
                  </pic:spPr>
                </pic:pic>
              </a:graphicData>
            </a:graphic>
            <wp14:sizeRelH relativeFrom="margin">
              <wp14:pctWidth>0</wp14:pctWidth>
            </wp14:sizeRelH>
            <wp14:sizeRelV relativeFrom="margin">
              <wp14:pctHeight>0</wp14:pctHeight>
            </wp14:sizeRelV>
          </wp:anchor>
        </w:drawing>
      </w:r>
    </w:p>
    <w:p w14:paraId="22CA7170" w14:textId="77777777" w:rsidR="003240D6" w:rsidRDefault="003240D6" w:rsidP="003C4E91">
      <w:pPr>
        <w:pStyle w:val="Heading2"/>
        <w:numPr>
          <w:ilvl w:val="0"/>
          <w:numId w:val="0"/>
        </w:numPr>
        <w:ind w:left="576"/>
        <w:jc w:val="both"/>
        <w:rPr>
          <w:szCs w:val="32"/>
        </w:rPr>
      </w:pPr>
    </w:p>
    <w:p w14:paraId="4CA3B98F" w14:textId="77777777" w:rsidR="0059788E" w:rsidRDefault="0059788E" w:rsidP="003C4E91">
      <w:pPr>
        <w:jc w:val="both"/>
      </w:pPr>
    </w:p>
    <w:p w14:paraId="0A94CFE5" w14:textId="77777777" w:rsidR="0059788E" w:rsidRDefault="0059788E" w:rsidP="003C4E91">
      <w:pPr>
        <w:jc w:val="both"/>
      </w:pPr>
    </w:p>
    <w:p w14:paraId="26F4A2A0" w14:textId="77777777" w:rsidR="0059788E" w:rsidRDefault="0059788E" w:rsidP="003C4E91">
      <w:pPr>
        <w:jc w:val="both"/>
      </w:pPr>
    </w:p>
    <w:p w14:paraId="56443632" w14:textId="77777777" w:rsidR="0059788E" w:rsidRDefault="0059788E" w:rsidP="003C4E91">
      <w:pPr>
        <w:jc w:val="both"/>
      </w:pPr>
    </w:p>
    <w:p w14:paraId="723D9875" w14:textId="77777777" w:rsidR="0059788E" w:rsidRDefault="0059788E" w:rsidP="003C4E91">
      <w:pPr>
        <w:jc w:val="both"/>
      </w:pPr>
    </w:p>
    <w:p w14:paraId="68599096" w14:textId="77777777" w:rsidR="0059788E" w:rsidRDefault="0059788E" w:rsidP="003C4E91">
      <w:pPr>
        <w:jc w:val="both"/>
      </w:pPr>
    </w:p>
    <w:p w14:paraId="72EAACC5" w14:textId="77777777" w:rsidR="0059788E" w:rsidRDefault="0059788E" w:rsidP="003C4E91">
      <w:pPr>
        <w:jc w:val="both"/>
      </w:pPr>
    </w:p>
    <w:p w14:paraId="3C854A7F" w14:textId="77777777" w:rsidR="0059788E" w:rsidRDefault="0059788E" w:rsidP="003C4E91">
      <w:pPr>
        <w:jc w:val="both"/>
      </w:pPr>
    </w:p>
    <w:p w14:paraId="5D2C01B4" w14:textId="77777777" w:rsidR="0059788E" w:rsidRDefault="0059788E" w:rsidP="003C4E91">
      <w:pPr>
        <w:jc w:val="both"/>
      </w:pPr>
    </w:p>
    <w:p w14:paraId="48447AD7" w14:textId="77777777" w:rsidR="0059788E" w:rsidRDefault="0059788E" w:rsidP="003C4E91">
      <w:pPr>
        <w:jc w:val="both"/>
      </w:pPr>
    </w:p>
    <w:p w14:paraId="7267BD1A" w14:textId="77777777" w:rsidR="0059788E" w:rsidRDefault="0059788E" w:rsidP="003C4E91">
      <w:pPr>
        <w:jc w:val="both"/>
      </w:pPr>
    </w:p>
    <w:p w14:paraId="1ACD93E9" w14:textId="77777777" w:rsidR="0059788E" w:rsidRDefault="0059788E" w:rsidP="003C4E91">
      <w:pPr>
        <w:jc w:val="both"/>
      </w:pPr>
    </w:p>
    <w:p w14:paraId="5121DF18" w14:textId="08540842" w:rsidR="003240D6" w:rsidRDefault="003240D6" w:rsidP="003C4E91">
      <w:pPr>
        <w:jc w:val="both"/>
      </w:pPr>
      <w:r>
        <w:t>Zoals te zien is in de bijgaande grafiek, volgen de evoluties in het contactpercentage en het percentage geplaatste apparatuur een gelijkaardige trend.</w:t>
      </w:r>
    </w:p>
    <w:p w14:paraId="50D269A3" w14:textId="77777777" w:rsidR="003240D6" w:rsidRPr="003240D6" w:rsidRDefault="003240D6" w:rsidP="003C4E91">
      <w:pPr>
        <w:jc w:val="both"/>
      </w:pPr>
    </w:p>
    <w:p w14:paraId="742114CC" w14:textId="7ED70498" w:rsidR="00137F7B" w:rsidRDefault="4C7D3C26" w:rsidP="003C4E91">
      <w:pPr>
        <w:pStyle w:val="Heading2"/>
        <w:jc w:val="both"/>
      </w:pPr>
      <w:r>
        <w:lastRenderedPageBreak/>
        <w:t xml:space="preserve"> </w:t>
      </w:r>
      <w:bookmarkStart w:id="12" w:name="_Toc226551734"/>
      <w:r w:rsidR="003240D6">
        <w:t>S</w:t>
      </w:r>
      <w:r w:rsidR="00137F7B">
        <w:t>ociaal</w:t>
      </w:r>
      <w:r w:rsidR="003240D6">
        <w:t>-</w:t>
      </w:r>
      <w:r w:rsidR="00137F7B">
        <w:t>economische toegankelijkheid (2024)</w:t>
      </w:r>
      <w:bookmarkEnd w:id="12"/>
    </w:p>
    <w:p w14:paraId="3427C6A7" w14:textId="212A2FBD" w:rsidR="00137F7B" w:rsidRDefault="00137F7B" w:rsidP="003C4E91">
      <w:pPr>
        <w:jc w:val="both"/>
      </w:pPr>
      <w:r>
        <w:t>In 2024 ligt het aandeel kinderen met orthodontisch contact duidelijk hoger bij niet</w:t>
      </w:r>
      <w:r w:rsidR="25D7D994">
        <w:t>-</w:t>
      </w:r>
      <w:r>
        <w:t>VT</w:t>
      </w:r>
      <w:r w:rsidR="171DA483">
        <w:t>-</w:t>
      </w:r>
      <w:r>
        <w:t>kinderen dan bij VT</w:t>
      </w:r>
      <w:r w:rsidR="1A2A11C4">
        <w:t>-</w:t>
      </w:r>
      <w:r>
        <w:t>kinderen. Concreet gaat het om ongeveer één op drie bij niet</w:t>
      </w:r>
      <w:r w:rsidR="49F7D289">
        <w:t>-</w:t>
      </w:r>
      <w:r>
        <w:t xml:space="preserve">VT tegenover ongeveer één op vier bij VT, respectievelijk 34% en 24,5%. Hetzelfde patroon zien we bij de start van een regulier orthodontisch traject via toestelplaatsing, met 7,1% bij </w:t>
      </w:r>
      <w:r w:rsidR="4B1AEAB5">
        <w:t>niet-VT</w:t>
      </w:r>
      <w:r>
        <w:t xml:space="preserve"> tegenover 4,4% bij VT. Deze verschillen wijzen op een consistente sociale gradiënt in zowel contactname als effectieve instap in een regulier traject. </w:t>
      </w:r>
    </w:p>
    <w:p w14:paraId="2702028C" w14:textId="77777777" w:rsidR="003240D6" w:rsidRDefault="003240D6" w:rsidP="003C4E91">
      <w:pPr>
        <w:jc w:val="both"/>
        <w:rPr>
          <w:b/>
          <w:bCs/>
        </w:rPr>
      </w:pPr>
    </w:p>
    <w:p w14:paraId="74FCC7E9" w14:textId="332B8109" w:rsidR="00137F7B" w:rsidRDefault="00137F7B" w:rsidP="003C4E91">
      <w:pPr>
        <w:jc w:val="both"/>
      </w:pPr>
      <w:r w:rsidRPr="35F19B17">
        <w:rPr>
          <w:b/>
          <w:bCs/>
        </w:rPr>
        <w:t>Tabel 1 – Aandeel kinderen (9–16 jaar) in orthodontische zorg volgens sociaaleconomisch statuut (2024)</w:t>
      </w:r>
    </w:p>
    <w:p w14:paraId="208E2E48" w14:textId="77777777" w:rsidR="00137F7B" w:rsidRPr="00CE6138" w:rsidRDefault="00137F7B" w:rsidP="003C4E91">
      <w:pPr>
        <w:jc w:val="both"/>
      </w:pPr>
      <w:r>
        <w:rPr>
          <w:noProof/>
        </w:rPr>
        <w:drawing>
          <wp:inline distT="0" distB="0" distL="0" distR="0" wp14:anchorId="54DC3BFE" wp14:editId="05F1F9DE">
            <wp:extent cx="3498850" cy="558800"/>
            <wp:effectExtent l="0" t="0" r="6350" b="0"/>
            <wp:docPr id="1287040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0" cy="558800"/>
                    </a:xfrm>
                    <a:prstGeom prst="rect">
                      <a:avLst/>
                    </a:prstGeom>
                    <a:noFill/>
                    <a:ln>
                      <a:noFill/>
                    </a:ln>
                  </pic:spPr>
                </pic:pic>
              </a:graphicData>
            </a:graphic>
          </wp:inline>
        </w:drawing>
      </w:r>
    </w:p>
    <w:p w14:paraId="099244B8" w14:textId="77777777" w:rsidR="00137F7B" w:rsidRDefault="00137F7B" w:rsidP="003C4E91">
      <w:pPr>
        <w:jc w:val="both"/>
      </w:pPr>
    </w:p>
    <w:p w14:paraId="1334A6EC" w14:textId="12566083" w:rsidR="003240D6" w:rsidRDefault="003240D6" w:rsidP="003C4E91">
      <w:pPr>
        <w:pStyle w:val="Heading2"/>
        <w:jc w:val="both"/>
      </w:pPr>
      <w:bookmarkStart w:id="13" w:name="_Toc226551735"/>
      <w:r>
        <w:t>Analyse van de variabiliteit van de behandelingskost: wat betaalt de patiënt werkelijk?</w:t>
      </w:r>
      <w:bookmarkEnd w:id="13"/>
    </w:p>
    <w:p w14:paraId="35C2FD52" w14:textId="77777777" w:rsidR="003240D6" w:rsidRPr="00CE6138" w:rsidRDefault="003240D6" w:rsidP="003C4E91">
      <w:pPr>
        <w:jc w:val="both"/>
      </w:pPr>
      <w:r>
        <w:t xml:space="preserve">Een volledig regulier orthodontisch traject bestaat uit meerdere sequenties die de verschillende stappen in de behandeling weerspiegelen. Op basis van de samenstelling van volledige behandelingen werd een mediaan traject afgeleid met twee initiatiesessies, twee apparaat forfaits, achttien opvolgbezoeken en drie andere types sessies. De mediane duur van een volledig traject, gerekend vanaf de plaatsing van het toestel en exclusief de twee initiatiesessies, bedraagt </w:t>
      </w:r>
      <w:r w:rsidRPr="35F19B17">
        <w:rPr>
          <w:b/>
          <w:bCs/>
        </w:rPr>
        <w:t>1.110 dagen</w:t>
      </w:r>
      <w:r>
        <w:t xml:space="preserve">, wat overeenkomt met drie jaar en vijftien dagen. </w:t>
      </w:r>
    </w:p>
    <w:p w14:paraId="147D10C1" w14:textId="451D1F52" w:rsidR="003240D6" w:rsidRPr="00CE6138" w:rsidRDefault="003240D6" w:rsidP="003C4E91">
      <w:pPr>
        <w:jc w:val="both"/>
      </w:pPr>
      <w:r>
        <w:t xml:space="preserve">Wanneer men dit traject theoretisch waardeert aan het wettelijke honorarium, komt de theoretische totale kost voor een mediaan traject in 2024 uit op 1.210 euro. Zonder supplementen betaalt een </w:t>
      </w:r>
      <w:r w:rsidR="4B1AEAB5">
        <w:t xml:space="preserve">niet-VT </w:t>
      </w:r>
      <w:r>
        <w:t xml:space="preserve">patiënt daarbij 244 euro remgeld, terwijl voor </w:t>
      </w:r>
      <w:r w:rsidR="07338F69">
        <w:t>VT-patiënten</w:t>
      </w:r>
      <w:r>
        <w:t xml:space="preserve"> het remgeld op nul staat. In de praktijk ligt de patiëntkost echter doorgaans veel hoger door ereloonsupplementen, wat samenhangt met de bijzonder lage conventiegraad. </w:t>
      </w:r>
    </w:p>
    <w:p w14:paraId="1CF8670D" w14:textId="5893F6A5" w:rsidR="003240D6" w:rsidRPr="00CE6138" w:rsidRDefault="003240D6" w:rsidP="003C4E91">
      <w:pPr>
        <w:jc w:val="both"/>
      </w:pPr>
      <w:r>
        <w:t xml:space="preserve">De niet-conventionering is in deze context een sleutelbevinding. Volgens </w:t>
      </w:r>
      <w:r w:rsidR="004C767C">
        <w:t>onze gegevens</w:t>
      </w:r>
      <w:r>
        <w:t xml:space="preserve"> werkt 99% van de orthodontisten buiten conventie en bepaalt dus vrij het tarief. Bij de analyse van toestelplaatsingen in 2024 werd het merendeel uitgevoerd door niet-geconventioneerde zorgverleners, met daarnaast een beperkte fractie door gedeeltelijk en volledig geconventioneerden. Bovendien toont de uitsplitsing dat toestelplaatsingen zowel door algemene tandartsen als door orthodontisten gebeuren, waarbij binnen beide groepen een hoog aandeel niet-geconventioneerden wordt vastgesteld, en het aandeel niet-geconventioneerden bij orthodontisten het hoogst ligt. </w:t>
      </w:r>
    </w:p>
    <w:p w14:paraId="00961446" w14:textId="4DDA8D6C" w:rsidR="003240D6" w:rsidRDefault="003240D6" w:rsidP="003C4E91">
      <w:pPr>
        <w:jc w:val="both"/>
      </w:pPr>
      <w:r>
        <w:t xml:space="preserve">Door mediane supplementen per sequentie te combineren met het aantal sessies in het mediaan traject, wordt de totale mediane supplementkost geraamd op 1.851 euro. Rekening houdend met het remgeld komt de totale mediane kost voor </w:t>
      </w:r>
      <w:r w:rsidR="4B1AEAB5">
        <w:t>niet-</w:t>
      </w:r>
      <w:r w:rsidR="07338F69">
        <w:t>VT-patiënten</w:t>
      </w:r>
      <w:r>
        <w:t xml:space="preserve"> daarmee op 2.095 euro, terwijl </w:t>
      </w:r>
      <w:r w:rsidR="07338F69">
        <w:t>VT-patiënten</w:t>
      </w:r>
      <w:r>
        <w:t xml:space="preserve"> uitkomen op 1.851 euro omdat zij geen remgeld betalen. De spreiding is aanzienlijk, met een lagere schatting (P25) van 1.370 euro en een hogere schatting (P75) van 2.838 euro. </w:t>
      </w:r>
    </w:p>
    <w:p w14:paraId="18947DE6" w14:textId="7DFB5EFF" w:rsidR="003240D6" w:rsidRPr="00CE6138" w:rsidRDefault="003240D6" w:rsidP="003C4E91">
      <w:pPr>
        <w:jc w:val="both"/>
      </w:pPr>
      <w:r w:rsidRPr="00CE6138">
        <w:t>Omdat het mediaan traject geen retentie</w:t>
      </w:r>
      <w:r>
        <w:t xml:space="preserve"> </w:t>
      </w:r>
      <w:r>
        <w:rPr>
          <w:rStyle w:val="FootnoteReference"/>
        </w:rPr>
        <w:footnoteReference w:id="1"/>
      </w:r>
      <w:r w:rsidRPr="00CE6138">
        <w:t xml:space="preserve">bevat, kan daarbovenop nog een belangrijke bijkomende kost ontstaan wanneer retentie wel nodig is. De studie vermeldt in dat geval een extra kost van </w:t>
      </w:r>
      <w:r w:rsidRPr="00CE6138">
        <w:lastRenderedPageBreak/>
        <w:t>ongeveer 390 euro, samengesteld uit een retentieapparaat dat niet door de verplichte verzekering wordt terugbetaald en bijkomende supplementen voor retentiesessies. Daardoor kan de totale kost oplopen tot ongeveer 2.</w:t>
      </w:r>
      <w:r>
        <w:t>241</w:t>
      </w:r>
      <w:r w:rsidRPr="00CE6138">
        <w:t xml:space="preserve"> euro voor VT</w:t>
      </w:r>
      <w:r>
        <w:t>-</w:t>
      </w:r>
      <w:r w:rsidRPr="00CE6138">
        <w:t>patiënten</w:t>
      </w:r>
      <w:r w:rsidRPr="00CE6138">
        <w:noBreakHyphen/>
        <w:t xml:space="preserve"> en 2.</w:t>
      </w:r>
      <w:r>
        <w:t>485</w:t>
      </w:r>
      <w:r w:rsidRPr="00CE6138">
        <w:t xml:space="preserve"> euro voor </w:t>
      </w:r>
      <w:r w:rsidR="4B1AEAB5" w:rsidRPr="00CE6138">
        <w:noBreakHyphen/>
        <w:t>niet-VT</w:t>
      </w:r>
      <w:r>
        <w:t>-</w:t>
      </w:r>
      <w:r w:rsidRPr="00CE6138">
        <w:t xml:space="preserve">patiënten. </w:t>
      </w:r>
    </w:p>
    <w:p w14:paraId="15E1CBDB" w14:textId="13AEAA70" w:rsidR="003240D6" w:rsidRPr="00CE6138" w:rsidRDefault="003240D6" w:rsidP="003C4E91">
      <w:pPr>
        <w:jc w:val="both"/>
        <w:rPr>
          <w:b/>
          <w:bCs/>
        </w:rPr>
      </w:pPr>
      <w:r>
        <w:t>Mutualiteiten proberen deze kostendruk gedeeltelijk op te vangen via tussenkomsten vanuit de aanvullende verzekering en, waar van toepassing, de facultatieve verzekering zoals Dentaplan. In de verplichte aanvullende verzekering wordt een tussenkomst voorzien van 1.050 euro voor een orthodontische behandeling. Dat brengt de resterende kost voor een mediaan traject zonder retentie voor een VT-patiënt nog op 801 euro en voor een niet-VT patiënt op 1.045 euro.</w:t>
      </w:r>
    </w:p>
    <w:p w14:paraId="7CE0DC34" w14:textId="3FF91E5D" w:rsidR="00137F7B" w:rsidRDefault="00137F7B" w:rsidP="003C4E91">
      <w:pPr>
        <w:pStyle w:val="Heading1"/>
        <w:jc w:val="both"/>
      </w:pPr>
      <w:bookmarkStart w:id="14" w:name="_Toc226551736"/>
      <w:r>
        <w:t>Bespreking</w:t>
      </w:r>
      <w:bookmarkEnd w:id="14"/>
    </w:p>
    <w:p w14:paraId="02C67051" w14:textId="77777777" w:rsidR="00137F7B" w:rsidRDefault="00137F7B" w:rsidP="003C4E91">
      <w:pPr>
        <w:jc w:val="both"/>
      </w:pPr>
    </w:p>
    <w:p w14:paraId="2EBF9266" w14:textId="103A1653" w:rsidR="003240D6" w:rsidRDefault="2E57BB2F" w:rsidP="003C4E91">
      <w:pPr>
        <w:pStyle w:val="Heading2"/>
        <w:jc w:val="both"/>
      </w:pPr>
      <w:r>
        <w:t xml:space="preserve"> </w:t>
      </w:r>
      <w:bookmarkStart w:id="15" w:name="_Toc226551737"/>
      <w:r w:rsidR="003240D6">
        <w:t>Kwalitatieve duiding: spanning tussen betaalbaarheid en praktijkrealiteit</w:t>
      </w:r>
      <w:bookmarkEnd w:id="15"/>
    </w:p>
    <w:p w14:paraId="71A39665" w14:textId="20B18C82" w:rsidR="003240D6" w:rsidRDefault="003240D6" w:rsidP="003C4E91">
      <w:pPr>
        <w:jc w:val="both"/>
      </w:pPr>
      <w:r>
        <w:t xml:space="preserve">De kwantitatieve resultaten bevestigen dat de mediane resterende kost voor een regulier orthodontisch traject aanzienlijk blijft, zelfs na terugbetaling via de verplichte verzekering en na tussenkomsten vanuit aanvullende en facultatieve verzekeringen. Voor sociaaleconomisch kwetsbare gezinnen kan dit een echte belemmering vormen en aanleiding geven tot zorguitstel of zorgverzuim, ook wanneer orthodontische zorg medisch aangewezen is. Tegelijk geven zorgverleners aan dat werken aan het wettelijke, geconventioneerde tarief financieel moeilijk houdbaar is om hun kosten te dekken. De experten die werden gecontacteerd wijzen daarbij vooral op twee structurele factoren: een verouderde nomenclatuur die technieken, materialen en werklast onvoldoende weerspiegelt, en sterk gestegen werkingskosten in de praktijk die met de huidige vergoedingen onvoldoende worden opgevangen. In dat kader wordt ook verwezen naar een trend naar grotere groepspraktijken om kosten te spreiden. </w:t>
      </w:r>
    </w:p>
    <w:p w14:paraId="3FE51219" w14:textId="77777777" w:rsidR="003240D6" w:rsidRPr="00CE6138" w:rsidRDefault="003240D6" w:rsidP="003C4E91">
      <w:pPr>
        <w:jc w:val="both"/>
      </w:pPr>
    </w:p>
    <w:p w14:paraId="696D3A79" w14:textId="6D9218F8" w:rsidR="003240D6" w:rsidRDefault="50E03BDA" w:rsidP="003C4E91">
      <w:pPr>
        <w:pStyle w:val="Heading2"/>
        <w:jc w:val="both"/>
      </w:pPr>
      <w:r>
        <w:t xml:space="preserve"> </w:t>
      </w:r>
      <w:bookmarkStart w:id="16" w:name="_Toc226551738"/>
      <w:r w:rsidR="003240D6">
        <w:t>Het nieuwe akkoord 2026–2027 en de “maximale tarieven”: een paradox met risico’s</w:t>
      </w:r>
      <w:bookmarkEnd w:id="16"/>
    </w:p>
    <w:p w14:paraId="3EF3EF2A" w14:textId="7102AFE2" w:rsidR="003240D6" w:rsidRPr="00CE6138" w:rsidRDefault="003240D6" w:rsidP="003C4E91">
      <w:pPr>
        <w:jc w:val="both"/>
      </w:pPr>
      <w:r>
        <w:t xml:space="preserve">Door begrotingsmoeilijkheden in 2025 en 2026 bevat het dentomut akkoord van december 2025 een tijdelijke maatregel met de invoering van maximale tarieven, met andere woorden toegelaten supplementen die kunnen worden aangerekend ongeacht het statuut van de patiënt. Dit gebeurt terwijl enerzijds een hervorming van de nomenclatuur gepland is tegen 1 januari 2027 en anderzijds een verbod op ereloonsupplementen voor </w:t>
      </w:r>
      <w:r w:rsidR="07338F69">
        <w:t>VT-patiënten</w:t>
      </w:r>
      <w:r>
        <w:t xml:space="preserve"> voorzien is vanaf 1 juli 2026. De studie verwijst daarnaast naar het Koninklijk Besluit van 17 maart 2024, dat bepaalt dat wanneer bepaalde tandheelkundige prestaties niet worden geherwaardeerd om budgettaire redenen, een maximaal tarief moet worden vastgelegd, en dat dergelijke supplementen in principe in het Maximumfactuurplafond (MAF) moeten worden opgenomen om de impact voor patiënten te begrenzen. Volgens de studie worden de maximale tarieven in het nieuwe akkoord echter niet opgenomen in de MAF, wat een beschermingslek creëert. </w:t>
      </w:r>
    </w:p>
    <w:p w14:paraId="2F2AF33A" w14:textId="0F2274C1" w:rsidR="003240D6" w:rsidRPr="00CE6138" w:rsidRDefault="003240D6" w:rsidP="003C4E91">
      <w:pPr>
        <w:jc w:val="both"/>
      </w:pPr>
      <w:r>
        <w:t xml:space="preserve">Hierdoor ontstaat een paradoxale situatie waarin vanaf 1 juli 2026 principieel geen ereloonsupplementen meer zouden mogen worden aangerekend aan </w:t>
      </w:r>
      <w:r w:rsidR="07338F69">
        <w:t>VT-patiënten</w:t>
      </w:r>
      <w:r>
        <w:t xml:space="preserve"> voor </w:t>
      </w:r>
      <w:proofErr w:type="spellStart"/>
      <w:r>
        <w:t>orthodontische</w:t>
      </w:r>
      <w:proofErr w:type="spellEnd"/>
      <w:r>
        <w:t xml:space="preserve"> en tandheelkundige prestaties, maar tegelijk maximale tarieven als vorm van toegelaten supplementen in orthodontie toegestaan blijven, zonder MAFinkapseling. De studie waarschuwt bovendien dat de vastgelegde maximale tarieven ruim hoger liggen dan de mediane tarieven die in de analyse worden waargenomen, waardoor het risico bestaat dat zorgverleners zich massaal op die maxima gaan afstemmen en de betaalbaarheid verder onder druk komt. In dezelfde context wordt ook verwezen naar signalen dat zorgverzuim in België stijgt, met tandzorg als één van </w:t>
      </w:r>
      <w:r>
        <w:lastRenderedPageBreak/>
        <w:t xml:space="preserve">de domeinen met de hoogste percentages, wat de gevoeligheid van betaalbaarheid in dit zorgsegment </w:t>
      </w:r>
      <w:proofErr w:type="gramStart"/>
      <w:r>
        <w:t>onderstreept</w:t>
      </w:r>
      <w:proofErr w:type="gramEnd"/>
      <w:r>
        <w:t xml:space="preserve">. </w:t>
      </w:r>
    </w:p>
    <w:p w14:paraId="6220C54F" w14:textId="091DB9E0" w:rsidR="003240D6" w:rsidRPr="00CE6138" w:rsidRDefault="003240D6" w:rsidP="003C4E91">
      <w:pPr>
        <w:jc w:val="both"/>
        <w:rPr>
          <w:b/>
          <w:bCs/>
        </w:rPr>
      </w:pPr>
      <w:r>
        <w:t xml:space="preserve">Ten slotte </w:t>
      </w:r>
      <w:r w:rsidR="0059788E">
        <w:t>versoepelt</w:t>
      </w:r>
      <w:r>
        <w:t xml:space="preserve"> het akkoord ook de regels rond gedeeltelijke conventie, waarbij het vereiste minimum aan uren aan conventietarieven daalt van 32 uur per week naar 20 uur per week, te presteren in blokken van minstens twee opeenvolgende uren.</w:t>
      </w:r>
    </w:p>
    <w:p w14:paraId="6DF7E6AB" w14:textId="1E6912AB" w:rsidR="003240D6" w:rsidRDefault="003240D6" w:rsidP="003C4E91">
      <w:pPr>
        <w:jc w:val="both"/>
        <w:rPr>
          <w:b/>
          <w:bCs/>
        </w:rPr>
      </w:pPr>
    </w:p>
    <w:p w14:paraId="6E58A55C" w14:textId="07C73C26" w:rsidR="003240D6" w:rsidRDefault="53DFB79F" w:rsidP="003C4E91">
      <w:pPr>
        <w:pStyle w:val="Heading2"/>
        <w:jc w:val="both"/>
        <w:rPr>
          <w:szCs w:val="32"/>
        </w:rPr>
      </w:pPr>
      <w:r>
        <w:t xml:space="preserve"> </w:t>
      </w:r>
      <w:bookmarkStart w:id="17" w:name="_Toc226551739"/>
      <w:r w:rsidR="003240D6">
        <w:t>Aanbevelingen</w:t>
      </w:r>
      <w:bookmarkEnd w:id="17"/>
      <w:r w:rsidR="003240D6">
        <w:t xml:space="preserve"> </w:t>
      </w:r>
    </w:p>
    <w:p w14:paraId="0AE58891" w14:textId="00D5AEB8" w:rsidR="003240D6" w:rsidRPr="00CE6138" w:rsidRDefault="003240D6" w:rsidP="003C4E91">
      <w:pPr>
        <w:jc w:val="both"/>
      </w:pPr>
      <w:r>
        <w:t xml:space="preserve">Solidaris pleit, in het licht van de invoering van maximale tarieven en het risico op tariefopdrijving, voor bijkomende maatregelen die de financiële toegankelijkheid expliciet versterken, in het bijzonder voor </w:t>
      </w:r>
      <w:r w:rsidR="07338F69">
        <w:t>VT-patiënten</w:t>
      </w:r>
      <w:r>
        <w:t xml:space="preserve">. </w:t>
      </w:r>
      <w:r w:rsidR="00C2371D">
        <w:t>B</w:t>
      </w:r>
      <w:r>
        <w:t xml:space="preserve">innen het tandheelkundige budget </w:t>
      </w:r>
      <w:r w:rsidR="00C2371D">
        <w:t xml:space="preserve">blijft </w:t>
      </w:r>
      <w:r>
        <w:t xml:space="preserve">18 miljoen euro ongebruikt en </w:t>
      </w:r>
      <w:proofErr w:type="spellStart"/>
      <w:r>
        <w:t>Solidaris</w:t>
      </w:r>
      <w:proofErr w:type="spellEnd"/>
      <w:r>
        <w:t xml:space="preserve"> vraagt om dit budget gericht in te zetten voor een hogere terugbetaling van regulier </w:t>
      </w:r>
      <w:proofErr w:type="spellStart"/>
      <w:r>
        <w:t>orthodontisch</w:t>
      </w:r>
      <w:proofErr w:type="spellEnd"/>
      <w:r>
        <w:t xml:space="preserve"> behandelen voor </w:t>
      </w:r>
      <w:r w:rsidR="07338F69">
        <w:t>VT-patiënten</w:t>
      </w:r>
      <w:r>
        <w:t xml:space="preserve">, met als beoogd effect een substantiële daling van de patiëntkost. Daarnaast vraagt Solidaris, </w:t>
      </w:r>
      <w:proofErr w:type="gramStart"/>
      <w:r>
        <w:t>conform</w:t>
      </w:r>
      <w:proofErr w:type="gramEnd"/>
      <w:r>
        <w:t xml:space="preserve"> de geest van het Koninklijk Besluit van 17 maart 2024, dat de maximale tarieven effectief in de Maximumfactuur worden opgenomen en dat deze maximale tarieven strikt tijdelijk blijven, in afwachting van objectivering via de hervormde nomenclatuur, zodat tariefzekerheid en bescherming voor kwetsbare patiënten beter worden gewaarborgd. </w:t>
      </w:r>
    </w:p>
    <w:p w14:paraId="22B4C705" w14:textId="6F430973" w:rsidR="003240D6" w:rsidRPr="00CE6138" w:rsidRDefault="003240D6" w:rsidP="003C4E91">
      <w:pPr>
        <w:jc w:val="both"/>
      </w:pPr>
      <w:r>
        <w:t>Met het oog op de hervorming van de orthodontische nomenclatuur die voorzien is voor 1 januari 2027 ondersteunt Solidaris de discussie over objectieve criteria om specifieke medische noden binnen het regulier orthodontisch traject vast te leggen. Een dergelijk criterium zou het mogelijk maken om een hogere tussenkomst vanuit de verplichte verzekering te voorzien wanneer de medische nood aantoonbaar is, en zo de toegankelijkheid versterken. Daarbij wordt verwezen naar een KCE</w:t>
      </w:r>
      <w:r w:rsidR="006B7644">
        <w:t>-</w:t>
      </w:r>
      <w:r>
        <w:t xml:space="preserve">studie uit 2008 als inspiratiebron voor mogelijke pistes, met de oproep om te komen tot een breed gedragen, objectiveerbaar criterium dat kan dienen als basis voor een betere en eerlijkere terugbetaling. </w:t>
      </w:r>
    </w:p>
    <w:p w14:paraId="36B3BF3D" w14:textId="77777777" w:rsidR="003240D6" w:rsidRPr="00CE6138" w:rsidRDefault="003240D6" w:rsidP="003C4E91">
      <w:pPr>
        <w:jc w:val="both"/>
        <w:rPr>
          <w:b/>
          <w:bCs/>
        </w:rPr>
      </w:pPr>
    </w:p>
    <w:p w14:paraId="73F59451" w14:textId="59CCB8AD" w:rsidR="003240D6" w:rsidRPr="00CE6138" w:rsidRDefault="003240D6" w:rsidP="003C4E91">
      <w:pPr>
        <w:jc w:val="both"/>
        <w:rPr>
          <w:b/>
          <w:bCs/>
        </w:rPr>
      </w:pPr>
    </w:p>
    <w:p w14:paraId="2698CD6C" w14:textId="06600C3B" w:rsidR="003240D6" w:rsidRDefault="003240D6" w:rsidP="003C4E91">
      <w:pPr>
        <w:jc w:val="both"/>
      </w:pPr>
    </w:p>
    <w:p w14:paraId="6327370B" w14:textId="77777777" w:rsidR="003240D6" w:rsidRDefault="003240D6" w:rsidP="003C4E91">
      <w:pPr>
        <w:jc w:val="both"/>
      </w:pPr>
    </w:p>
    <w:p w14:paraId="21CFE7B7" w14:textId="77777777" w:rsidR="00137F7B" w:rsidRPr="00137F7B" w:rsidRDefault="00137F7B" w:rsidP="003C4E91">
      <w:pPr>
        <w:jc w:val="both"/>
      </w:pPr>
    </w:p>
    <w:p w14:paraId="1F33C00C" w14:textId="77777777" w:rsidR="00137F7B" w:rsidRPr="00137F7B" w:rsidRDefault="00137F7B" w:rsidP="003C4E91">
      <w:pPr>
        <w:jc w:val="both"/>
      </w:pPr>
    </w:p>
    <w:p w14:paraId="22A23BA7" w14:textId="77777777" w:rsidR="00FF3D4F" w:rsidRPr="00137F7B" w:rsidRDefault="00FF3D4F" w:rsidP="003C4E91">
      <w:pPr>
        <w:jc w:val="both"/>
      </w:pPr>
    </w:p>
    <w:p w14:paraId="44D73E33" w14:textId="77777777" w:rsidR="00FF3D4F" w:rsidRPr="00137F7B" w:rsidRDefault="00FF3D4F" w:rsidP="003C4E91">
      <w:pPr>
        <w:jc w:val="both"/>
      </w:pPr>
    </w:p>
    <w:p w14:paraId="1079FDC7" w14:textId="77777777" w:rsidR="00FF3D4F" w:rsidRPr="00137F7B" w:rsidRDefault="00FF3D4F" w:rsidP="003C4E91">
      <w:pPr>
        <w:jc w:val="both"/>
      </w:pPr>
    </w:p>
    <w:p w14:paraId="33096734" w14:textId="77777777" w:rsidR="00FF3D4F" w:rsidRPr="00137F7B" w:rsidRDefault="00FF3D4F" w:rsidP="003C4E91">
      <w:pPr>
        <w:jc w:val="both"/>
      </w:pPr>
    </w:p>
    <w:p w14:paraId="0AC8FA4E" w14:textId="77777777" w:rsidR="00FF3D4F" w:rsidRPr="00137F7B" w:rsidRDefault="00FF3D4F" w:rsidP="003C4E91">
      <w:pPr>
        <w:jc w:val="both"/>
      </w:pPr>
    </w:p>
    <w:p w14:paraId="5B372F97" w14:textId="77777777" w:rsidR="00FF3D4F" w:rsidRPr="00137F7B" w:rsidRDefault="00FF3D4F" w:rsidP="003C4E91">
      <w:pPr>
        <w:jc w:val="both"/>
      </w:pPr>
    </w:p>
    <w:p w14:paraId="6F29A8F7" w14:textId="77777777" w:rsidR="00FF3D4F" w:rsidRPr="00137F7B" w:rsidRDefault="00FF3D4F" w:rsidP="003C4E91">
      <w:pPr>
        <w:jc w:val="both"/>
      </w:pPr>
    </w:p>
    <w:p w14:paraId="2C440843" w14:textId="77777777" w:rsidR="00FF3D4F" w:rsidRPr="00137F7B" w:rsidRDefault="00FF3D4F" w:rsidP="003C4E91">
      <w:pPr>
        <w:jc w:val="both"/>
      </w:pPr>
    </w:p>
    <w:p w14:paraId="48FDC7FC" w14:textId="77777777" w:rsidR="00FF3D4F" w:rsidRPr="00137F7B" w:rsidRDefault="00FF3D4F" w:rsidP="003C4E91">
      <w:pPr>
        <w:jc w:val="both"/>
      </w:pPr>
    </w:p>
    <w:p w14:paraId="4AEDD9A0" w14:textId="77777777" w:rsidR="00FF3D4F" w:rsidRPr="00137F7B" w:rsidRDefault="00FF3D4F" w:rsidP="003C4E91">
      <w:pPr>
        <w:jc w:val="both"/>
      </w:pPr>
    </w:p>
    <w:sectPr w:rsidR="00FF3D4F" w:rsidRPr="00137F7B" w:rsidSect="00366197">
      <w:footerReference w:type="default" r:id="rId17"/>
      <w:footerReference w:type="first" r:id="rId18"/>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1B87D" w14:textId="77777777" w:rsidR="00AB063E" w:rsidRDefault="00AB063E" w:rsidP="006324E9">
      <w:pPr>
        <w:spacing w:after="0" w:line="240" w:lineRule="auto"/>
      </w:pPr>
      <w:r>
        <w:separator/>
      </w:r>
    </w:p>
  </w:endnote>
  <w:endnote w:type="continuationSeparator" w:id="0">
    <w:p w14:paraId="1EB49C4F" w14:textId="77777777" w:rsidR="00AB063E" w:rsidRDefault="00AB063E" w:rsidP="006324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085012"/>
      <w:docPartObj>
        <w:docPartGallery w:val="Page Numbers (Bottom of Page)"/>
        <w:docPartUnique/>
      </w:docPartObj>
    </w:sdtPr>
    <w:sdtEndPr>
      <w:rPr>
        <w:szCs w:val="20"/>
      </w:rPr>
    </w:sdtEndPr>
    <w:sdtContent>
      <w:p w14:paraId="2195F30C" w14:textId="77777777" w:rsidR="006324E9" w:rsidRPr="002C0924" w:rsidRDefault="007E3A72" w:rsidP="00B72847">
        <w:pPr>
          <w:pStyle w:val="Footer"/>
          <w:jc w:val="right"/>
          <w:rPr>
            <w:rFonts w:asciiTheme="minorHAnsi" w:hAnsiTheme="minorHAnsi"/>
            <w:sz w:val="22"/>
          </w:rPr>
        </w:pPr>
        <w:r w:rsidRPr="007E3A72">
          <w:rPr>
            <w:noProof/>
          </w:rPr>
          <w:drawing>
            <wp:anchor distT="0" distB="0" distL="114300" distR="114300" simplePos="0" relativeHeight="251658240" behindDoc="1" locked="0" layoutInCell="1" allowOverlap="1" wp14:anchorId="54C39CC0" wp14:editId="6F615BFF">
              <wp:simplePos x="0" y="0"/>
              <wp:positionH relativeFrom="column">
                <wp:posOffset>-85725</wp:posOffset>
              </wp:positionH>
              <wp:positionV relativeFrom="paragraph">
                <wp:posOffset>-3810</wp:posOffset>
              </wp:positionV>
              <wp:extent cx="1047750" cy="184785"/>
              <wp:effectExtent l="0" t="0" r="0" b="5715"/>
              <wp:wrapTight wrapText="bothSides">
                <wp:wrapPolygon edited="0">
                  <wp:start x="0" y="0"/>
                  <wp:lineTo x="0" y="20041"/>
                  <wp:lineTo x="21207" y="20041"/>
                  <wp:lineTo x="21207" y="0"/>
                  <wp:lineTo x="0" y="0"/>
                </wp:wrapPolygon>
              </wp:wrapTight>
              <wp:docPr id="42" name="Graphic 42">
                <a:extLst xmlns:a="http://schemas.openxmlformats.org/drawingml/2006/main">
                  <a:ext uri="{FF2B5EF4-FFF2-40B4-BE49-F238E27FC236}">
                    <a16:creationId xmlns:a16="http://schemas.microsoft.com/office/drawing/2014/main" id="{C8C3B7A9-7216-4DE8-A605-A91C2A030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C8C3B7A9-7216-4DE8-A605-A91C2A030719}"/>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47750" cy="184785"/>
                      </a:xfrm>
                      <a:prstGeom prst="rect">
                        <a:avLst/>
                      </a:prstGeom>
                    </pic:spPr>
                  </pic:pic>
                </a:graphicData>
              </a:graphic>
            </wp:anchor>
          </w:drawing>
        </w:r>
        <w:r w:rsidR="00B72847">
          <w:tab/>
        </w:r>
        <w:r w:rsidR="00B72847" w:rsidRPr="0005640D">
          <w:rPr>
            <w:b/>
            <w:bCs/>
          </w:rPr>
          <w:t xml:space="preserve"> </w:t>
        </w:r>
        <w:proofErr w:type="spellStart"/>
        <w:r w:rsidR="0005640D" w:rsidRPr="0005640D">
          <w:rPr>
            <w:b/>
            <w:bCs/>
          </w:rPr>
          <w:t>Solidaris</w:t>
        </w:r>
        <w:proofErr w:type="spellEnd"/>
        <w:r w:rsidR="0005640D">
          <w:t xml:space="preserve"> </w:t>
        </w:r>
        <w:r w:rsidR="0005640D">
          <w:rPr>
            <w:szCs w:val="20"/>
          </w:rPr>
          <w:t>|</w:t>
        </w:r>
        <w:r w:rsidR="002C0924">
          <w:rPr>
            <w:szCs w:val="20"/>
          </w:rPr>
          <w:t xml:space="preserve"> pagina </w:t>
        </w:r>
        <w:r w:rsidR="006324E9" w:rsidRPr="007E3A72">
          <w:rPr>
            <w:b/>
            <w:bCs/>
            <w:szCs w:val="20"/>
          </w:rPr>
          <w:fldChar w:fldCharType="begin"/>
        </w:r>
        <w:r w:rsidR="006324E9" w:rsidRPr="007E3A72">
          <w:rPr>
            <w:b/>
            <w:bCs/>
            <w:szCs w:val="20"/>
          </w:rPr>
          <w:instrText>PAGE   \* MERGEFORMAT</w:instrText>
        </w:r>
        <w:r w:rsidR="006324E9" w:rsidRPr="007E3A72">
          <w:rPr>
            <w:b/>
            <w:bCs/>
            <w:szCs w:val="20"/>
          </w:rPr>
          <w:fldChar w:fldCharType="separate"/>
        </w:r>
        <w:r w:rsidR="006324E9" w:rsidRPr="007E3A72">
          <w:rPr>
            <w:b/>
            <w:bCs/>
            <w:szCs w:val="20"/>
            <w:lang w:val="nl-NL"/>
          </w:rPr>
          <w:t>2</w:t>
        </w:r>
        <w:r w:rsidR="006324E9" w:rsidRPr="007E3A72">
          <w:rPr>
            <w:b/>
            <w:bCs/>
            <w:szCs w:val="20"/>
          </w:rPr>
          <w:fldChar w:fldCharType="end"/>
        </w:r>
      </w:p>
    </w:sdtContent>
  </w:sdt>
  <w:p w14:paraId="1099CB42" w14:textId="77777777" w:rsidR="006324E9" w:rsidRDefault="006324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1072" w14:textId="77777777" w:rsidR="0005640D" w:rsidRDefault="0005640D" w:rsidP="0005640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E8A27" w14:textId="77777777" w:rsidR="00AB063E" w:rsidRDefault="00AB063E" w:rsidP="006324E9">
      <w:pPr>
        <w:spacing w:after="0" w:line="240" w:lineRule="auto"/>
      </w:pPr>
      <w:r>
        <w:separator/>
      </w:r>
    </w:p>
  </w:footnote>
  <w:footnote w:type="continuationSeparator" w:id="0">
    <w:p w14:paraId="64924593" w14:textId="77777777" w:rsidR="00AB063E" w:rsidRDefault="00AB063E" w:rsidP="006324E9">
      <w:pPr>
        <w:spacing w:after="0" w:line="240" w:lineRule="auto"/>
      </w:pPr>
      <w:r>
        <w:continuationSeparator/>
      </w:r>
    </w:p>
  </w:footnote>
  <w:footnote w:id="1">
    <w:p w14:paraId="2ECD4D6A" w14:textId="77777777" w:rsidR="003240D6" w:rsidRDefault="003240D6" w:rsidP="003240D6">
      <w:pPr>
        <w:pStyle w:val="FootnoteText"/>
      </w:pPr>
      <w:r>
        <w:rPr>
          <w:rStyle w:val="FootnoteReference"/>
        </w:rPr>
        <w:footnoteRef/>
      </w:r>
      <w:r>
        <w:t xml:space="preserve"> </w:t>
      </w:r>
      <w:r w:rsidRPr="00991080">
        <w:t>Retentie in de orthodontie is de cruciale fase ná een beugelbehandeling, bedoeld om tanden in hun nieuwe, rechte positie vast te houden en te voorkomen dat ze terugkeren naar hun oude stand (</w:t>
      </w:r>
      <w:hyperlink r:id="rId1" w:history="1">
        <w:r w:rsidRPr="00991080">
          <w:rPr>
            <w:rStyle w:val="Hyperlink"/>
          </w:rPr>
          <w:t>recidief</w:t>
        </w:r>
      </w:hyperlink>
      <w:r w:rsidRPr="00991080">
        <w:t>). Omdat tanden de neiging hebben te verschuiven, wordt dit bereikt met vaste spalkjes achter de tanden of uitneembare bitjes.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2355A"/>
    <w:multiLevelType w:val="hybridMultilevel"/>
    <w:tmpl w:val="93BE747A"/>
    <w:lvl w:ilvl="0" w:tplc="579A276A">
      <w:start w:val="1"/>
      <w:numFmt w:val="decimal"/>
      <w:lvlText w:val="%1.1"/>
      <w:lvlJc w:val="left"/>
      <w:pPr>
        <w:ind w:left="360" w:hanging="360"/>
      </w:pPr>
      <w:rPr>
        <w:rFonts w:hint="default"/>
        <w:b w:val="0"/>
        <w:i w:val="0"/>
        <w:color w:val="D90030"/>
        <w:sz w:val="32"/>
        <w:u w:val="none"/>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2ABC3105"/>
    <w:multiLevelType w:val="hybridMultilevel"/>
    <w:tmpl w:val="BCD257C6"/>
    <w:lvl w:ilvl="0" w:tplc="24DA2A1C">
      <w:start w:val="1"/>
      <w:numFmt w:val="decimal"/>
      <w:lvlText w:val="1.%1"/>
      <w:lvlJc w:val="left"/>
      <w:pPr>
        <w:ind w:left="1440" w:hanging="360"/>
      </w:pPr>
      <w:rPr>
        <w:rFonts w:ascii="Trebuchet MS" w:hAnsi="Trebuchet MS" w:hint="default"/>
        <w:b w:val="0"/>
        <w:i w:val="0"/>
        <w:color w:val="D90030"/>
        <w:sz w:val="24"/>
        <w:u w:val="none"/>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2" w15:restartNumberingAfterBreak="0">
    <w:nsid w:val="35286EF3"/>
    <w:multiLevelType w:val="hybridMultilevel"/>
    <w:tmpl w:val="2E749454"/>
    <w:lvl w:ilvl="0" w:tplc="0813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3E5E4F20"/>
    <w:multiLevelType w:val="multilevel"/>
    <w:tmpl w:val="08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4AA4253"/>
    <w:multiLevelType w:val="hybridMultilevel"/>
    <w:tmpl w:val="04F0DB30"/>
    <w:lvl w:ilvl="0" w:tplc="0813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54CD0ED7"/>
    <w:multiLevelType w:val="hybridMultilevel"/>
    <w:tmpl w:val="70829C12"/>
    <w:lvl w:ilvl="0" w:tplc="4AECC840">
      <w:start w:val="1"/>
      <w:numFmt w:val="decimal"/>
      <w:lvlText w:val="%1. "/>
      <w:lvlJc w:val="left"/>
      <w:pPr>
        <w:ind w:left="720" w:hanging="360"/>
      </w:pPr>
      <w:rPr>
        <w:rFonts w:hint="default"/>
        <w:b w:val="0"/>
        <w:i w:val="0"/>
        <w:color w:val="D90030"/>
        <w:sz w:val="4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759446B"/>
    <w:multiLevelType w:val="hybridMultilevel"/>
    <w:tmpl w:val="165ABC9C"/>
    <w:lvl w:ilvl="0" w:tplc="BF1070D4">
      <w:start w:val="1"/>
      <w:numFmt w:val="bullet"/>
      <w:pStyle w:val="ListParagraph"/>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67253BA4"/>
    <w:multiLevelType w:val="hybridMultilevel"/>
    <w:tmpl w:val="E71C9FE6"/>
    <w:lvl w:ilvl="0" w:tplc="66121D1A">
      <w:start w:val="1"/>
      <w:numFmt w:val="decimal"/>
      <w:lvlText w:val="%1.1"/>
      <w:lvlJc w:val="left"/>
      <w:pPr>
        <w:ind w:left="720" w:hanging="360"/>
      </w:pPr>
      <w:rPr>
        <w:rFonts w:ascii="Trebuchet MS" w:hAnsi="Trebuchet MS" w:hint="default"/>
        <w:b w:val="0"/>
        <w:i w:val="0"/>
        <w:color w:val="D90030"/>
        <w:sz w:val="28"/>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6CBA66F0"/>
    <w:multiLevelType w:val="hybridMultilevel"/>
    <w:tmpl w:val="C068D0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845586391">
    <w:abstractNumId w:val="5"/>
  </w:num>
  <w:num w:numId="2" w16cid:durableId="987174770">
    <w:abstractNumId w:val="0"/>
  </w:num>
  <w:num w:numId="3" w16cid:durableId="1547986242">
    <w:abstractNumId w:val="1"/>
  </w:num>
  <w:num w:numId="4" w16cid:durableId="1936358960">
    <w:abstractNumId w:val="7"/>
  </w:num>
  <w:num w:numId="5" w16cid:durableId="168058989">
    <w:abstractNumId w:val="3"/>
  </w:num>
  <w:num w:numId="6" w16cid:durableId="2030445430">
    <w:abstractNumId w:val="8"/>
  </w:num>
  <w:num w:numId="7" w16cid:durableId="1174343905">
    <w:abstractNumId w:val="6"/>
  </w:num>
  <w:num w:numId="8" w16cid:durableId="421682879">
    <w:abstractNumId w:val="4"/>
  </w:num>
  <w:num w:numId="9" w16cid:durableId="356349183">
    <w:abstractNumId w:val="2"/>
  </w:num>
  <w:num w:numId="10" w16cid:durableId="1992516077">
    <w:abstractNumId w:val="3"/>
  </w:num>
  <w:num w:numId="11" w16cid:durableId="951286515">
    <w:abstractNumId w:val="3"/>
  </w:num>
  <w:num w:numId="12" w16cid:durableId="780030286">
    <w:abstractNumId w:val="3"/>
  </w:num>
  <w:num w:numId="13" w16cid:durableId="695233851">
    <w:abstractNumId w:val="3"/>
  </w:num>
  <w:num w:numId="14" w16cid:durableId="1580407093">
    <w:abstractNumId w:val="3"/>
  </w:num>
  <w:num w:numId="15" w16cid:durableId="2175307">
    <w:abstractNumId w:val="3"/>
  </w:num>
  <w:num w:numId="16" w16cid:durableId="259341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F7B"/>
    <w:rsid w:val="000409D6"/>
    <w:rsid w:val="0005640D"/>
    <w:rsid w:val="0006384E"/>
    <w:rsid w:val="00092EA6"/>
    <w:rsid w:val="000F5733"/>
    <w:rsid w:val="00125107"/>
    <w:rsid w:val="00131489"/>
    <w:rsid w:val="00137F7B"/>
    <w:rsid w:val="00173235"/>
    <w:rsid w:val="001A33AD"/>
    <w:rsid w:val="001D3A71"/>
    <w:rsid w:val="00249D24"/>
    <w:rsid w:val="0025426C"/>
    <w:rsid w:val="00257C10"/>
    <w:rsid w:val="00264671"/>
    <w:rsid w:val="00266278"/>
    <w:rsid w:val="0028153F"/>
    <w:rsid w:val="002B7441"/>
    <w:rsid w:val="002C0924"/>
    <w:rsid w:val="002D0DC4"/>
    <w:rsid w:val="002D5E04"/>
    <w:rsid w:val="002E3E35"/>
    <w:rsid w:val="0030389C"/>
    <w:rsid w:val="003105B7"/>
    <w:rsid w:val="0032252B"/>
    <w:rsid w:val="003240D6"/>
    <w:rsid w:val="00366197"/>
    <w:rsid w:val="00392DA8"/>
    <w:rsid w:val="003C4E91"/>
    <w:rsid w:val="003E6E68"/>
    <w:rsid w:val="004839A3"/>
    <w:rsid w:val="004A0011"/>
    <w:rsid w:val="004C767C"/>
    <w:rsid w:val="004D6E9E"/>
    <w:rsid w:val="004F5D05"/>
    <w:rsid w:val="00521AAA"/>
    <w:rsid w:val="005254F5"/>
    <w:rsid w:val="00560319"/>
    <w:rsid w:val="0059788E"/>
    <w:rsid w:val="005A26ED"/>
    <w:rsid w:val="00601E1F"/>
    <w:rsid w:val="006324E9"/>
    <w:rsid w:val="00636B48"/>
    <w:rsid w:val="00645022"/>
    <w:rsid w:val="00696112"/>
    <w:rsid w:val="006A2B5F"/>
    <w:rsid w:val="006B535B"/>
    <w:rsid w:val="006B7644"/>
    <w:rsid w:val="006F4EA1"/>
    <w:rsid w:val="0070186C"/>
    <w:rsid w:val="007245FE"/>
    <w:rsid w:val="00732368"/>
    <w:rsid w:val="007E3A72"/>
    <w:rsid w:val="007E6DB9"/>
    <w:rsid w:val="00844C7A"/>
    <w:rsid w:val="00853730"/>
    <w:rsid w:val="00896EF0"/>
    <w:rsid w:val="00906040"/>
    <w:rsid w:val="00966081"/>
    <w:rsid w:val="009749F3"/>
    <w:rsid w:val="009A3FF6"/>
    <w:rsid w:val="009D0AE8"/>
    <w:rsid w:val="009D18A9"/>
    <w:rsid w:val="00A328F3"/>
    <w:rsid w:val="00A83D71"/>
    <w:rsid w:val="00A87BEB"/>
    <w:rsid w:val="00AA1C39"/>
    <w:rsid w:val="00AB063E"/>
    <w:rsid w:val="00AF5BA2"/>
    <w:rsid w:val="00AF640D"/>
    <w:rsid w:val="00B44B66"/>
    <w:rsid w:val="00B72847"/>
    <w:rsid w:val="00B83C5F"/>
    <w:rsid w:val="00BB5C11"/>
    <w:rsid w:val="00BB75E6"/>
    <w:rsid w:val="00BE179A"/>
    <w:rsid w:val="00C2371D"/>
    <w:rsid w:val="00C2406F"/>
    <w:rsid w:val="00C35FC8"/>
    <w:rsid w:val="00C72A17"/>
    <w:rsid w:val="00C91181"/>
    <w:rsid w:val="00CB62C0"/>
    <w:rsid w:val="00CB789D"/>
    <w:rsid w:val="00D31E20"/>
    <w:rsid w:val="00D46A3E"/>
    <w:rsid w:val="00D82E0D"/>
    <w:rsid w:val="00D84774"/>
    <w:rsid w:val="00D922F9"/>
    <w:rsid w:val="00DA3EF2"/>
    <w:rsid w:val="00DB6DBB"/>
    <w:rsid w:val="00DF6E52"/>
    <w:rsid w:val="00E17868"/>
    <w:rsid w:val="00E32F8F"/>
    <w:rsid w:val="00E54F18"/>
    <w:rsid w:val="00E77232"/>
    <w:rsid w:val="00E84923"/>
    <w:rsid w:val="00FD4900"/>
    <w:rsid w:val="00FE6EC7"/>
    <w:rsid w:val="00FF3D4F"/>
    <w:rsid w:val="07338F69"/>
    <w:rsid w:val="07E51693"/>
    <w:rsid w:val="088C2445"/>
    <w:rsid w:val="094ED507"/>
    <w:rsid w:val="0A69E98C"/>
    <w:rsid w:val="0A70A192"/>
    <w:rsid w:val="0DE5409E"/>
    <w:rsid w:val="0F70C0E4"/>
    <w:rsid w:val="1024413F"/>
    <w:rsid w:val="10510CB3"/>
    <w:rsid w:val="11F31551"/>
    <w:rsid w:val="171DA483"/>
    <w:rsid w:val="174099EE"/>
    <w:rsid w:val="1A2A11C4"/>
    <w:rsid w:val="1C81DC76"/>
    <w:rsid w:val="1DA27FF4"/>
    <w:rsid w:val="1E52912A"/>
    <w:rsid w:val="1FC7FE96"/>
    <w:rsid w:val="1FF08E3A"/>
    <w:rsid w:val="21007E56"/>
    <w:rsid w:val="218AA563"/>
    <w:rsid w:val="2578255A"/>
    <w:rsid w:val="25D7D994"/>
    <w:rsid w:val="286AC6C0"/>
    <w:rsid w:val="2930828B"/>
    <w:rsid w:val="2A661599"/>
    <w:rsid w:val="2E57BB2F"/>
    <w:rsid w:val="357D1F89"/>
    <w:rsid w:val="35B59AA5"/>
    <w:rsid w:val="35CBDC21"/>
    <w:rsid w:val="35F19B17"/>
    <w:rsid w:val="392B2190"/>
    <w:rsid w:val="39364A47"/>
    <w:rsid w:val="3BE21365"/>
    <w:rsid w:val="401657D5"/>
    <w:rsid w:val="45EDCCEB"/>
    <w:rsid w:val="488C39F7"/>
    <w:rsid w:val="49F7D289"/>
    <w:rsid w:val="4A94249A"/>
    <w:rsid w:val="4AEDBAC4"/>
    <w:rsid w:val="4B192488"/>
    <w:rsid w:val="4B1AEAB5"/>
    <w:rsid w:val="4C7D3C26"/>
    <w:rsid w:val="4CEB137F"/>
    <w:rsid w:val="4E4276FA"/>
    <w:rsid w:val="50E03BDA"/>
    <w:rsid w:val="51795860"/>
    <w:rsid w:val="51E44C21"/>
    <w:rsid w:val="53DFB79F"/>
    <w:rsid w:val="58206D8C"/>
    <w:rsid w:val="5AB7C6D6"/>
    <w:rsid w:val="5C8BA63C"/>
    <w:rsid w:val="5F5215D4"/>
    <w:rsid w:val="60D99F75"/>
    <w:rsid w:val="6BF78EED"/>
    <w:rsid w:val="6D12840D"/>
    <w:rsid w:val="77BB8918"/>
    <w:rsid w:val="7A0F8376"/>
    <w:rsid w:val="7F45565F"/>
    <w:rsid w:val="7F7F7C9D"/>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E2ADB"/>
  <w15:chartTrackingRefBased/>
  <w15:docId w15:val="{E154B0DE-EB2F-417A-83BE-8379A1DAC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3AD"/>
    <w:rPr>
      <w:rFonts w:ascii="Trebuchet MS" w:hAnsi="Trebuchet MS"/>
      <w:sz w:val="20"/>
    </w:rPr>
  </w:style>
  <w:style w:type="paragraph" w:styleId="Heading1">
    <w:name w:val="heading 1"/>
    <w:basedOn w:val="Normal"/>
    <w:next w:val="Normal"/>
    <w:link w:val="Heading1Char"/>
    <w:uiPriority w:val="9"/>
    <w:qFormat/>
    <w:rsid w:val="004F5D05"/>
    <w:pPr>
      <w:keepNext/>
      <w:keepLines/>
      <w:numPr>
        <w:numId w:val="5"/>
      </w:numPr>
      <w:spacing w:before="240" w:after="0"/>
      <w:ind w:left="431" w:hanging="431"/>
      <w:outlineLvl w:val="0"/>
    </w:pPr>
    <w:rPr>
      <w:rFonts w:eastAsiaTheme="majorEastAsia" w:cstheme="majorBidi"/>
      <w:color w:val="D90030"/>
      <w:sz w:val="40"/>
      <w:szCs w:val="32"/>
    </w:rPr>
  </w:style>
  <w:style w:type="paragraph" w:styleId="Heading2">
    <w:name w:val="heading 2"/>
    <w:basedOn w:val="Heading1"/>
    <w:next w:val="Normal"/>
    <w:link w:val="Heading2Char"/>
    <w:uiPriority w:val="9"/>
    <w:unhideWhenUsed/>
    <w:qFormat/>
    <w:rsid w:val="004F5D05"/>
    <w:pPr>
      <w:numPr>
        <w:ilvl w:val="1"/>
      </w:numPr>
      <w:spacing w:before="120" w:after="120"/>
      <w:outlineLvl w:val="1"/>
    </w:pPr>
    <w:rPr>
      <w:rFonts w:asciiTheme="majorHAnsi" w:hAnsiTheme="majorHAnsi"/>
      <w:sz w:val="32"/>
      <w:szCs w:val="26"/>
    </w:rPr>
  </w:style>
  <w:style w:type="paragraph" w:styleId="Heading3">
    <w:name w:val="heading 3"/>
    <w:basedOn w:val="Heading2"/>
    <w:next w:val="Normal"/>
    <w:link w:val="Heading3Char"/>
    <w:uiPriority w:val="9"/>
    <w:unhideWhenUsed/>
    <w:qFormat/>
    <w:rsid w:val="001A33AD"/>
    <w:pPr>
      <w:numPr>
        <w:ilvl w:val="2"/>
      </w:numPr>
      <w:outlineLvl w:val="2"/>
    </w:pPr>
    <w:rPr>
      <w:rFonts w:ascii="Trebuchet MS" w:hAnsi="Trebuchet MS"/>
      <w:sz w:val="24"/>
      <w:szCs w:val="24"/>
    </w:rPr>
  </w:style>
  <w:style w:type="paragraph" w:styleId="Heading4">
    <w:name w:val="heading 4"/>
    <w:basedOn w:val="Normal"/>
    <w:next w:val="Normal"/>
    <w:link w:val="Heading4Char"/>
    <w:uiPriority w:val="9"/>
    <w:semiHidden/>
    <w:unhideWhenUsed/>
    <w:qFormat/>
    <w:rsid w:val="004F5D05"/>
    <w:pPr>
      <w:keepNext/>
      <w:keepLines/>
      <w:numPr>
        <w:ilvl w:val="3"/>
        <w:numId w:val="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F5D05"/>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F5D05"/>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F5D05"/>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F5D05"/>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F5D05"/>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D05"/>
    <w:rPr>
      <w:rFonts w:ascii="Trebuchet MS" w:eastAsiaTheme="majorEastAsia" w:hAnsi="Trebuchet MS" w:cstheme="majorBidi"/>
      <w:color w:val="D90030"/>
      <w:sz w:val="40"/>
      <w:szCs w:val="32"/>
    </w:rPr>
  </w:style>
  <w:style w:type="paragraph" w:styleId="TOC1">
    <w:name w:val="toc 1"/>
    <w:basedOn w:val="Normal"/>
    <w:next w:val="Normal"/>
    <w:autoRedefine/>
    <w:uiPriority w:val="39"/>
    <w:unhideWhenUsed/>
    <w:rsid w:val="00A83D71"/>
    <w:pPr>
      <w:tabs>
        <w:tab w:val="left" w:pos="400"/>
        <w:tab w:val="right" w:leader="dot" w:pos="9350"/>
      </w:tabs>
      <w:spacing w:after="100"/>
    </w:pPr>
    <w:rPr>
      <w:noProof/>
      <w:color w:val="D90030"/>
      <w:sz w:val="24"/>
      <w:szCs w:val="28"/>
    </w:rPr>
  </w:style>
  <w:style w:type="paragraph" w:styleId="TOCHeading">
    <w:name w:val="TOC Heading"/>
    <w:basedOn w:val="Heading1"/>
    <w:next w:val="Normal"/>
    <w:uiPriority w:val="39"/>
    <w:unhideWhenUsed/>
    <w:rsid w:val="006324E9"/>
    <w:pPr>
      <w:outlineLvl w:val="9"/>
    </w:pPr>
    <w:rPr>
      <w:lang w:eastAsia="nl-BE"/>
    </w:rPr>
  </w:style>
  <w:style w:type="paragraph" w:styleId="Header">
    <w:name w:val="header"/>
    <w:basedOn w:val="Normal"/>
    <w:link w:val="HeaderChar"/>
    <w:uiPriority w:val="99"/>
    <w:unhideWhenUsed/>
    <w:rsid w:val="006324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4E9"/>
  </w:style>
  <w:style w:type="paragraph" w:styleId="Footer">
    <w:name w:val="footer"/>
    <w:basedOn w:val="Normal"/>
    <w:link w:val="FooterChar"/>
    <w:uiPriority w:val="99"/>
    <w:unhideWhenUsed/>
    <w:rsid w:val="006324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4E9"/>
  </w:style>
  <w:style w:type="character" w:customStyle="1" w:styleId="Heading2Char">
    <w:name w:val="Heading 2 Char"/>
    <w:basedOn w:val="DefaultParagraphFont"/>
    <w:link w:val="Heading2"/>
    <w:uiPriority w:val="9"/>
    <w:rsid w:val="004F5D05"/>
    <w:rPr>
      <w:rFonts w:asciiTheme="majorHAnsi" w:eastAsiaTheme="majorEastAsia" w:hAnsiTheme="majorHAnsi" w:cstheme="majorBidi"/>
      <w:color w:val="D90030"/>
      <w:sz w:val="32"/>
      <w:szCs w:val="26"/>
    </w:rPr>
  </w:style>
  <w:style w:type="paragraph" w:styleId="TOC2">
    <w:name w:val="toc 2"/>
    <w:basedOn w:val="Normal"/>
    <w:next w:val="Normal"/>
    <w:autoRedefine/>
    <w:uiPriority w:val="39"/>
    <w:unhideWhenUsed/>
    <w:rsid w:val="002C0924"/>
    <w:pPr>
      <w:spacing w:after="100"/>
      <w:ind w:left="220"/>
    </w:pPr>
  </w:style>
  <w:style w:type="character" w:styleId="Hyperlink">
    <w:name w:val="Hyperlink"/>
    <w:basedOn w:val="DefaultParagraphFont"/>
    <w:uiPriority w:val="99"/>
    <w:unhideWhenUsed/>
    <w:rsid w:val="002C0924"/>
    <w:rPr>
      <w:color w:val="0563C1" w:themeColor="hyperlink"/>
      <w:u w:val="single"/>
    </w:rPr>
  </w:style>
  <w:style w:type="paragraph" w:styleId="NoSpacing">
    <w:name w:val="No Spacing"/>
    <w:uiPriority w:val="1"/>
    <w:qFormat/>
    <w:rsid w:val="0030389C"/>
    <w:pPr>
      <w:spacing w:after="0" w:line="240" w:lineRule="auto"/>
    </w:pPr>
    <w:rPr>
      <w:rFonts w:ascii="Trebuchet MS" w:hAnsi="Trebuchet MS"/>
    </w:rPr>
  </w:style>
  <w:style w:type="character" w:customStyle="1" w:styleId="Heading3Char">
    <w:name w:val="Heading 3 Char"/>
    <w:basedOn w:val="DefaultParagraphFont"/>
    <w:link w:val="Heading3"/>
    <w:uiPriority w:val="9"/>
    <w:rsid w:val="001A33AD"/>
    <w:rPr>
      <w:rFonts w:ascii="Trebuchet MS" w:eastAsiaTheme="majorEastAsia" w:hAnsi="Trebuchet MS" w:cstheme="majorBidi"/>
      <w:color w:val="D90030"/>
      <w:sz w:val="24"/>
      <w:szCs w:val="24"/>
    </w:rPr>
  </w:style>
  <w:style w:type="table" w:styleId="TableGrid">
    <w:name w:val="Table Grid"/>
    <w:basedOn w:val="TableNormal"/>
    <w:uiPriority w:val="39"/>
    <w:rsid w:val="001A3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06040"/>
    <w:pPr>
      <w:spacing w:after="100"/>
      <w:ind w:left="400"/>
    </w:pPr>
  </w:style>
  <w:style w:type="character" w:customStyle="1" w:styleId="Heading4Char">
    <w:name w:val="Heading 4 Char"/>
    <w:basedOn w:val="DefaultParagraphFont"/>
    <w:link w:val="Heading4"/>
    <w:uiPriority w:val="9"/>
    <w:semiHidden/>
    <w:rsid w:val="004F5D05"/>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4F5D05"/>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4F5D05"/>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4F5D05"/>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4F5D0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F5D05"/>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DF6E52"/>
    <w:rPr>
      <w:color w:val="605E5C"/>
      <w:shd w:val="clear" w:color="auto" w:fill="E1DFDD"/>
    </w:rPr>
  </w:style>
  <w:style w:type="paragraph" w:styleId="Title">
    <w:name w:val="Title"/>
    <w:basedOn w:val="Normal"/>
    <w:next w:val="Normal"/>
    <w:link w:val="TitleChar"/>
    <w:uiPriority w:val="10"/>
    <w:qFormat/>
    <w:rsid w:val="00D84774"/>
    <w:pPr>
      <w:spacing w:after="0" w:line="240" w:lineRule="auto"/>
      <w:contextualSpacing/>
    </w:pPr>
    <w:rPr>
      <w:rFonts w:eastAsiaTheme="majorEastAsia" w:cstheme="majorBidi"/>
      <w:b/>
      <w:color w:val="FFFFFF" w:themeColor="background1"/>
      <w:spacing w:val="-10"/>
      <w:kern w:val="28"/>
      <w:sz w:val="44"/>
      <w:szCs w:val="56"/>
    </w:rPr>
  </w:style>
  <w:style w:type="character" w:customStyle="1" w:styleId="TitleChar">
    <w:name w:val="Title Char"/>
    <w:basedOn w:val="DefaultParagraphFont"/>
    <w:link w:val="Title"/>
    <w:uiPriority w:val="10"/>
    <w:rsid w:val="00D84774"/>
    <w:rPr>
      <w:rFonts w:ascii="Trebuchet MS" w:eastAsiaTheme="majorEastAsia" w:hAnsi="Trebuchet MS" w:cstheme="majorBidi"/>
      <w:b/>
      <w:color w:val="FFFFFF" w:themeColor="background1"/>
      <w:spacing w:val="-10"/>
      <w:kern w:val="28"/>
      <w:sz w:val="44"/>
      <w:szCs w:val="56"/>
    </w:rPr>
  </w:style>
  <w:style w:type="character" w:styleId="SubtleEmphasis">
    <w:name w:val="Subtle Emphasis"/>
    <w:basedOn w:val="DefaultParagraphFont"/>
    <w:uiPriority w:val="19"/>
    <w:rsid w:val="00D84774"/>
    <w:rPr>
      <w:i/>
      <w:iCs/>
      <w:color w:val="404040" w:themeColor="text1" w:themeTint="BF"/>
    </w:rPr>
  </w:style>
  <w:style w:type="paragraph" w:styleId="Subtitle">
    <w:name w:val="Subtitle"/>
    <w:basedOn w:val="Normal"/>
    <w:next w:val="Normal"/>
    <w:link w:val="SubtitleChar"/>
    <w:uiPriority w:val="11"/>
    <w:qFormat/>
    <w:rsid w:val="006B535B"/>
    <w:pPr>
      <w:numPr>
        <w:ilvl w:val="1"/>
      </w:numPr>
    </w:pPr>
    <w:rPr>
      <w:rFonts w:eastAsiaTheme="minorEastAsia"/>
      <w:b/>
      <w:color w:val="D90030"/>
      <w:spacing w:val="15"/>
      <w:sz w:val="24"/>
    </w:rPr>
  </w:style>
  <w:style w:type="character" w:customStyle="1" w:styleId="SubtitleChar">
    <w:name w:val="Subtitle Char"/>
    <w:basedOn w:val="DefaultParagraphFont"/>
    <w:link w:val="Subtitle"/>
    <w:uiPriority w:val="11"/>
    <w:rsid w:val="006B535B"/>
    <w:rPr>
      <w:rFonts w:ascii="Trebuchet MS" w:eastAsiaTheme="minorEastAsia" w:hAnsi="Trebuchet MS"/>
      <w:b/>
      <w:color w:val="D90030"/>
      <w:spacing w:val="15"/>
      <w:sz w:val="24"/>
    </w:rPr>
  </w:style>
  <w:style w:type="paragraph" w:styleId="ListParagraph">
    <w:name w:val="List Paragraph"/>
    <w:basedOn w:val="Normal"/>
    <w:uiPriority w:val="34"/>
    <w:qFormat/>
    <w:rsid w:val="00AF5BA2"/>
    <w:pPr>
      <w:numPr>
        <w:numId w:val="7"/>
      </w:numPr>
      <w:ind w:left="1068"/>
      <w:contextualSpacing/>
    </w:pPr>
  </w:style>
  <w:style w:type="character" w:styleId="Strong">
    <w:name w:val="Strong"/>
    <w:basedOn w:val="DefaultParagraphFont"/>
    <w:uiPriority w:val="22"/>
    <w:qFormat/>
    <w:rsid w:val="00AF5BA2"/>
    <w:rPr>
      <w:rFonts w:ascii="Trebuchet MS" w:hAnsi="Trebuchet MS"/>
      <w:b/>
      <w:bCs/>
      <w:sz w:val="20"/>
    </w:rPr>
  </w:style>
  <w:style w:type="character" w:styleId="Emphasis">
    <w:name w:val="Emphasis"/>
    <w:basedOn w:val="DefaultParagraphFont"/>
    <w:uiPriority w:val="20"/>
    <w:qFormat/>
    <w:rsid w:val="00B44B66"/>
    <w:rPr>
      <w:i/>
      <w:iCs/>
    </w:rPr>
  </w:style>
  <w:style w:type="character" w:styleId="FollowedHyperlink">
    <w:name w:val="FollowedHyperlink"/>
    <w:basedOn w:val="DefaultParagraphFont"/>
    <w:uiPriority w:val="99"/>
    <w:semiHidden/>
    <w:unhideWhenUsed/>
    <w:rsid w:val="006A2B5F"/>
    <w:rPr>
      <w:color w:val="954F72" w:themeColor="followedHyperlink"/>
      <w:u w:val="single"/>
    </w:rPr>
  </w:style>
  <w:style w:type="character" w:styleId="CommentReference">
    <w:name w:val="annotation reference"/>
    <w:basedOn w:val="DefaultParagraphFont"/>
    <w:uiPriority w:val="99"/>
    <w:semiHidden/>
    <w:unhideWhenUsed/>
    <w:rsid w:val="00C35FC8"/>
    <w:rPr>
      <w:sz w:val="16"/>
      <w:szCs w:val="16"/>
    </w:rPr>
  </w:style>
  <w:style w:type="paragraph" w:styleId="CommentText">
    <w:name w:val="annotation text"/>
    <w:basedOn w:val="Normal"/>
    <w:link w:val="CommentTextChar"/>
    <w:uiPriority w:val="99"/>
    <w:unhideWhenUsed/>
    <w:rsid w:val="00C35FC8"/>
    <w:pPr>
      <w:spacing w:line="240" w:lineRule="auto"/>
    </w:pPr>
    <w:rPr>
      <w:szCs w:val="20"/>
    </w:rPr>
  </w:style>
  <w:style w:type="character" w:customStyle="1" w:styleId="CommentTextChar">
    <w:name w:val="Comment Text Char"/>
    <w:basedOn w:val="DefaultParagraphFont"/>
    <w:link w:val="CommentText"/>
    <w:uiPriority w:val="99"/>
    <w:rsid w:val="00C35FC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C35FC8"/>
    <w:rPr>
      <w:b/>
      <w:bCs/>
    </w:rPr>
  </w:style>
  <w:style w:type="character" w:customStyle="1" w:styleId="CommentSubjectChar">
    <w:name w:val="Comment Subject Char"/>
    <w:basedOn w:val="CommentTextChar"/>
    <w:link w:val="CommentSubject"/>
    <w:uiPriority w:val="99"/>
    <w:semiHidden/>
    <w:rsid w:val="00C35FC8"/>
    <w:rPr>
      <w:rFonts w:ascii="Trebuchet MS" w:hAnsi="Trebuchet MS"/>
      <w:b/>
      <w:bCs/>
      <w:sz w:val="20"/>
      <w:szCs w:val="20"/>
    </w:rPr>
  </w:style>
  <w:style w:type="character" w:styleId="IntenseReference">
    <w:name w:val="Intense Reference"/>
    <w:basedOn w:val="DefaultParagraphFont"/>
    <w:uiPriority w:val="32"/>
    <w:qFormat/>
    <w:rsid w:val="00137F7B"/>
    <w:rPr>
      <w:b/>
      <w:bCs/>
      <w:smallCaps/>
      <w:color w:val="2F5496" w:themeColor="accent1" w:themeShade="BF"/>
      <w:spacing w:val="5"/>
    </w:rPr>
  </w:style>
  <w:style w:type="character" w:styleId="IntenseEmphasis">
    <w:name w:val="Intense Emphasis"/>
    <w:basedOn w:val="DefaultParagraphFont"/>
    <w:uiPriority w:val="21"/>
    <w:qFormat/>
    <w:rsid w:val="00137F7B"/>
    <w:rPr>
      <w:i/>
      <w:iCs/>
      <w:color w:val="2F5496" w:themeColor="accent1" w:themeShade="BF"/>
    </w:rPr>
  </w:style>
  <w:style w:type="paragraph" w:styleId="FootnoteText">
    <w:name w:val="footnote text"/>
    <w:basedOn w:val="Normal"/>
    <w:link w:val="FootnoteTextChar"/>
    <w:uiPriority w:val="99"/>
    <w:semiHidden/>
    <w:unhideWhenUsed/>
    <w:rsid w:val="003240D6"/>
    <w:pPr>
      <w:spacing w:after="0" w:line="240" w:lineRule="auto"/>
    </w:pPr>
    <w:rPr>
      <w:rFonts w:asciiTheme="minorHAnsi" w:hAnsiTheme="minorHAnsi"/>
      <w:kern w:val="2"/>
      <w:szCs w:val="20"/>
      <w14:ligatures w14:val="standardContextual"/>
    </w:rPr>
  </w:style>
  <w:style w:type="character" w:customStyle="1" w:styleId="FootnoteTextChar">
    <w:name w:val="Footnote Text Char"/>
    <w:basedOn w:val="DefaultParagraphFont"/>
    <w:link w:val="FootnoteText"/>
    <w:uiPriority w:val="99"/>
    <w:semiHidden/>
    <w:rsid w:val="003240D6"/>
    <w:rPr>
      <w:kern w:val="2"/>
      <w:sz w:val="20"/>
      <w:szCs w:val="20"/>
      <w14:ligatures w14:val="standardContextual"/>
    </w:rPr>
  </w:style>
  <w:style w:type="character" w:styleId="FootnoteReference">
    <w:name w:val="footnote reference"/>
    <w:basedOn w:val="DefaultParagraphFont"/>
    <w:uiPriority w:val="99"/>
    <w:semiHidden/>
    <w:unhideWhenUsed/>
    <w:rsid w:val="003240D6"/>
    <w:rPr>
      <w:vertAlign w:val="superscript"/>
    </w:rPr>
  </w:style>
  <w:style w:type="paragraph" w:styleId="Revision">
    <w:name w:val="Revision"/>
    <w:hidden/>
    <w:uiPriority w:val="99"/>
    <w:semiHidden/>
    <w:rsid w:val="006F4EA1"/>
    <w:pPr>
      <w:spacing w:after="0" w:line="240" w:lineRule="auto"/>
    </w:pPr>
    <w:rPr>
      <w:rFonts w:ascii="Trebuchet MS" w:hAnsi="Trebuchet M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search?q=recidief&amp;sca_esv=bb692e0fdf80bd80&amp;sxsrf=ANbL-n7cO2FaYD5ShpAZaZWtbeYgdLIdgA%3A1773250724563&amp;source=hp&amp;ei=pKixadKSIMHh7_UP28qOwQs&amp;iflsig=AFdpzrgAAAAAabG2tDyDXEHIeCxyIt3_-1tedZumGkoj&amp;ved=2ahUKEwjuoKDgsZiTAxVI8wIHHefMAFgQgK4QegQIARAC&amp;uact=5&amp;oq=wat+is+retente+in+orthodontie&amp;gs_lp=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_6pAbIHBDIwLjm4B58VwgcGOC4yMS4xyAcvgAgA&amp;sclient=gws-wiz&amp;mstk=AUtExfAih-aaRANyCh5sjzmxGKtVqNr4DGCwT_OoD6jejmTJhFjGODUTao1gCOVfncMPm0JFz7L_3myovl_FROUnT4FMWxc4nRwWYa0mvGryQVJaDR3QU-ZRLps7LjnoWa_A-APZ7Ss317EpcykkNwmtBsSJVjvuyuqSOaHGOuSa1t0qMZs&amp;csui=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mutsocmut365.sharepoint.com/sites/399-OrganizationFiles/OfficeTemplates/1_SolidarisNL/Voorblad%20&amp;%20Inhoudstafel%20Solidaris.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BB4B78831E9E14D8A157E3D3A13549E" ma:contentTypeVersion="7" ma:contentTypeDescription="Een nieuw document maken." ma:contentTypeScope="" ma:versionID="906e2fdc3129917bbd616c85ed36c84a">
  <xsd:schema xmlns:xsd="http://www.w3.org/2001/XMLSchema" xmlns:xs="http://www.w3.org/2001/XMLSchema" xmlns:p="http://schemas.microsoft.com/office/2006/metadata/properties" xmlns:ns2="6c1f23e4-b623-4071-bd67-7c3661999975" xmlns:ns3="a7064b31-46f3-4552-88b1-c9faa31b6a5f" targetNamespace="http://schemas.microsoft.com/office/2006/metadata/properties" ma:root="true" ma:fieldsID="74436ba12d9718d7babdeafd4b58d9fc" ns2:_="" ns3:_="">
    <xsd:import namespace="6c1f23e4-b623-4071-bd67-7c3661999975"/>
    <xsd:import namespace="a7064b31-46f3-4552-88b1-c9faa31b6a5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1f23e4-b623-4071-bd67-7c36619999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064b31-46f3-4552-88b1-c9faa31b6a5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4C889-D021-4C6A-8C0A-943D8229D6EE}">
  <ds:schemaRefs>
    <ds:schemaRef ds:uri="http://schemas.openxmlformats.org/officeDocument/2006/bibliography"/>
  </ds:schemaRefs>
</ds:datastoreItem>
</file>

<file path=customXml/itemProps2.xml><?xml version="1.0" encoding="utf-8"?>
<ds:datastoreItem xmlns:ds="http://schemas.openxmlformats.org/officeDocument/2006/customXml" ds:itemID="{91CD5EAB-D719-41AE-8E2D-59B6E67C0FC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CD9C801-DD54-4D61-B7F0-E758952FA93C}">
  <ds:schemaRefs>
    <ds:schemaRef ds:uri="http://schemas.microsoft.com/sharepoint/v3/contenttype/forms"/>
  </ds:schemaRefs>
</ds:datastoreItem>
</file>

<file path=customXml/itemProps4.xml><?xml version="1.0" encoding="utf-8"?>
<ds:datastoreItem xmlns:ds="http://schemas.openxmlformats.org/officeDocument/2006/customXml" ds:itemID="{60DBAC0A-D6FD-4FBB-BB60-004C86B56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1f23e4-b623-4071-bd67-7c3661999975"/>
    <ds:schemaRef ds:uri="a7064b31-46f3-4552-88b1-c9faa31b6a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Voorblad%20&amp;%20Inhoudstafel%20Solidaris</Template>
  <TotalTime>196</TotalTime>
  <Pages>9</Pages>
  <Words>2971</Words>
  <Characters>16342</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UNMS NVSM</Company>
  <LinksUpToDate>false</LinksUpToDate>
  <CharactersWithSpaces>19275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Vanoverloop, Johan</dc:creator>
  <cp:keywords/>
  <dc:description/>
  <cp:lastModifiedBy>Vanoverloop, Johan</cp:lastModifiedBy>
  <cp:revision>9</cp:revision>
  <cp:lastPrinted>2026-04-08T06:51:00Z</cp:lastPrinted>
  <dcterms:created xsi:type="dcterms:W3CDTF">2026-03-20T07:42:00Z</dcterms:created>
  <dcterms:modified xsi:type="dcterms:W3CDTF">2026-04-08T12:43:00Z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0x010100CBB4B78831E9E14D8A157E3D3A13549E</vt:lpwstr>
  </property>
</Properties>
</file>